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re-earnings-predictions--2026-07-29"/>
    <w:p>
      <w:pPr>
        <w:pStyle w:val="Heading1"/>
      </w:pPr>
      <w:r>
        <w:t xml:space="preserve">CBRE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~$11.30B vs. cons $11.18B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Advisory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~$2.34B vs. cons $2.29B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core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~$7.85 midpoint vs. cons $7.73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Critical-infrastructure-services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~62% vs. cons ~60%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7.85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l</m:t>
              </m:r>
              <m:r>
                <m:t>e</m:t>
              </m:r>
              <m:r>
                <m:t>s</m:t>
              </m:r>
              <m:r>
                <m:t>s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f</m:t>
              </m:r>
              <m:r>
                <m:t>i</m:t>
              </m:r>
              <m:r>
                <m:t>r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3.13 implies second-half EPS of ~</w:t>
            </w:r>
            <m:oMath>
              <m:r>
                <m:t>4.72</m:t>
              </m:r>
              <m:r>
                <m:rPr>
                  <m:sty m:val="p"/>
                </m:rPr>
                <m:t>,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l</m:t>
              </m:r>
              <m:r>
                <m:t>y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e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4.65. The recurring-services and Advisory beat should support the initial reaction, but limited out-period estimate upside and CBRE's history of fading after strong prints should surrender part of the day-1 gain.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2026-07-29T00:28:46Z</dcterms:created>
  <dcterms:modified xsi:type="dcterms:W3CDTF">2026-07-29T00:28:46Z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