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cbre-q2-2026-earnings-preview"/>
    <w:p>
      <w:pPr>
        <w:pStyle w:val="Heading1"/>
      </w:pPr>
      <w:r>
        <w:t xml:space="preserve">CBRE Q2 2026 Earnings Preview</w:t>
      </w:r>
    </w:p>
    <w:p>
      <w:pPr>
        <w:pStyle w:val="BlockText"/>
      </w:pPr>
      <w:r>
        <w:rPr>
          <w:b/>
          <w:bCs/>
        </w:rPr>
        <w:t xml:space="preserve">Scheduling note:</w:t>
      </w:r>
      <w:r>
        <w:t xml:space="preserve"> </w:t>
      </w:r>
      <w:r>
        <w:t xml:space="preserve">CBRE’s official calendar lists the Q2 release for approximately</w:t>
      </w:r>
      <w:r>
        <w:t xml:space="preserve"> </w:t>
      </w:r>
      <w:r>
        <w:rPr>
          <w:b/>
          <w:bCs/>
        </w:rPr>
        <w:t xml:space="preserve">6:55 a.m. ET on Wednesday, July 29, 2026</w:t>
      </w:r>
      <w:r>
        <w:t xml:space="preserve">, followed by the call at</w:t>
      </w:r>
      <w:r>
        <w:t xml:space="preserve"> </w:t>
      </w:r>
      <w:r>
        <w:rPr>
          <w:b/>
          <w:bCs/>
        </w:rPr>
        <w:t xml:space="preserve">8:30 a.m. ET the same day</w:t>
      </w:r>
      <w:r>
        <w:t xml:space="preserve">—not tomorrow, July 30. The preview below is written using the latest pre-report information available. (</w:t>
      </w:r>
      <w:hyperlink r:id="rId9">
        <w:r>
          <w:rPr>
            <w:rStyle w:val="Hyperlink"/>
          </w:rPr>
          <w:t xml:space="preserve">ir.cbre.com</w:t>
        </w:r>
      </w:hyperlink>
      <w:r>
        <w:t xml:space="preserve">)</w:t>
      </w:r>
    </w:p>
    <w:bookmarkStart w:id="11" w:name="the-setup"/>
    <w:p>
      <w:pPr>
        <w:pStyle w:val="Heading2"/>
      </w:pPr>
      <w:r>
        <w:t xml:space="preserve">The setup</w:t>
      </w:r>
    </w:p>
    <w:p>
      <w:pPr>
        <w:pStyle w:val="FirstParagraph"/>
      </w:pPr>
      <w:r>
        <w:t xml:space="preserve">CBRE enters the quarter with considerable operating momentum but a higher bar after an exceptionally strong Q1.</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growth</w:t>
            </w:r>
          </w:p>
        </w:tc>
      </w:tr>
      <w:tr>
        <w:tc>
          <w:tcPr/>
          <w:p>
            <w:pPr>
              <w:pStyle w:val="Compact"/>
            </w:pPr>
            <w:r>
              <w:t xml:space="preserve">Revenue</w:t>
            </w:r>
          </w:p>
        </w:tc>
        <w:tc>
          <w:tcPr/>
          <w:p>
            <w:pPr>
              <w:pStyle w:val="Compact"/>
              <w:jc w:val="right"/>
            </w:pPr>
            <w:r>
              <w:rPr>
                <w:b/>
                <w:bCs/>
              </w:rPr>
              <w:t xml:space="preserve">$11.18B</w:t>
            </w:r>
          </w:p>
        </w:tc>
        <w:tc>
          <w:tcPr/>
          <w:p>
            <w:pPr>
              <w:pStyle w:val="Compact"/>
              <w:jc w:val="right"/>
            </w:pPr>
            <w:r>
              <w:t xml:space="preserve">$9.75B</w:t>
            </w:r>
          </w:p>
        </w:tc>
        <w:tc>
          <w:tcPr/>
          <w:p>
            <w:pPr>
              <w:pStyle w:val="Compact"/>
              <w:jc w:val="right"/>
            </w:pPr>
            <w:r>
              <w:rPr>
                <w:b/>
                <w:bCs/>
              </w:rPr>
              <w:t xml:space="preserve">~15%</w:t>
            </w:r>
          </w:p>
        </w:tc>
      </w:tr>
      <w:tr>
        <w:tc>
          <w:tcPr/>
          <w:p>
            <w:pPr>
              <w:pStyle w:val="Compact"/>
            </w:pPr>
            <w:r>
              <w:t xml:space="preserve">Core EPS</w:t>
            </w:r>
          </w:p>
        </w:tc>
        <w:tc>
          <w:tcPr/>
          <w:p>
            <w:pPr>
              <w:pStyle w:val="Compact"/>
              <w:jc w:val="right"/>
            </w:pPr>
            <w:r>
              <w:rPr>
                <w:b/>
                <w:bCs/>
              </w:rPr>
              <w:t xml:space="preserve">$1.47</w:t>
            </w:r>
          </w:p>
        </w:tc>
        <w:tc>
          <w:tcPr/>
          <w:p>
            <w:pPr>
              <w:pStyle w:val="Compact"/>
              <w:jc w:val="right"/>
            </w:pPr>
            <w:r>
              <w:t xml:space="preserve">$1.19</w:t>
            </w:r>
          </w:p>
        </w:tc>
        <w:tc>
          <w:tcPr/>
          <w:p>
            <w:pPr>
              <w:pStyle w:val="Compact"/>
              <w:jc w:val="right"/>
            </w:pPr>
            <w:r>
              <w:rPr>
                <w:b/>
                <w:bCs/>
              </w:rPr>
              <w:t xml:space="preserve">~24%</w:t>
            </w:r>
          </w:p>
        </w:tc>
      </w:tr>
    </w:tbl>
    <w:p>
      <w:pPr>
        <w:pStyle w:val="BodyText"/>
      </w:pPr>
      <w:r>
        <w:t xml:space="preserve">Consensus figures vary by provider, but both TipRanks and MarketBeat put the EPS estimate at</w:t>
      </w:r>
      <w:r>
        <w:t xml:space="preserve"> </w:t>
      </w:r>
      <m:oMath>
        <m:r>
          <m:t>1.47</m:t>
        </m:r>
        <m:r>
          <m:rPr>
            <m:sty m:val="p"/>
          </m:rPr>
          <m:t>*</m:t>
        </m:r>
        <m:r>
          <m:rPr>
            <m:sty m:val="p"/>
          </m:rPr>
          <m:t>*</m:t>
        </m:r>
        <m:r>
          <m:rPr>
            <m:sty m:val="p"/>
          </m:rPr>
          <m:t>,</m:t>
        </m:r>
        <m:r>
          <m:t>w</m:t>
        </m:r>
        <m:r>
          <m:t>i</m:t>
        </m:r>
        <m:r>
          <m:t>t</m:t>
        </m:r>
        <m:r>
          <m:t>h</m:t>
        </m:r>
        <m:r>
          <m:t>M</m:t>
        </m:r>
        <m:r>
          <m:t>a</m:t>
        </m:r>
        <m:r>
          <m:t>r</m:t>
        </m:r>
        <m:r>
          <m:t>k</m:t>
        </m:r>
        <m:r>
          <m:t>e</m:t>
        </m:r>
        <m:r>
          <m:t>t</m:t>
        </m:r>
        <m:r>
          <m:t>B</m:t>
        </m:r>
        <m:r>
          <m:t>e</m:t>
        </m:r>
        <m:r>
          <m:t>a</m:t>
        </m:r>
        <m:r>
          <m:t>t</m:t>
        </m:r>
        <m:r>
          <m:t>s</m:t>
        </m:r>
        <m:r>
          <m:t>h</m:t>
        </m:r>
        <m:r>
          <m:t>o</m:t>
        </m:r>
        <m:r>
          <m:t>w</m:t>
        </m:r>
        <m:r>
          <m:t>i</m:t>
        </m:r>
        <m:r>
          <m:t>n</m:t>
        </m:r>
        <m:r>
          <m:t>g</m:t>
        </m:r>
        <m:r>
          <m:t>e</m:t>
        </m:r>
        <m:r>
          <m:t>x</m:t>
        </m:r>
        <m:r>
          <m:t>p</m:t>
        </m:r>
        <m:r>
          <m:t>e</m:t>
        </m:r>
        <m:r>
          <m:t>c</m:t>
        </m:r>
        <m:r>
          <m:t>t</m:t>
        </m:r>
        <m:r>
          <m:t>e</m:t>
        </m:r>
        <m:r>
          <m:t>d</m:t>
        </m:r>
        <m:r>
          <m:t>r</m:t>
        </m:r>
        <m:r>
          <m:t>e</m:t>
        </m:r>
        <m:r>
          <m:t>v</m:t>
        </m:r>
        <m:r>
          <m:t>e</m:t>
        </m:r>
        <m:r>
          <m:t>n</m:t>
        </m:r>
        <m:r>
          <m:t>u</m:t>
        </m:r>
        <m:r>
          <m:t>e</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11.18 billion</w:t>
      </w:r>
      <w:r>
        <w:t xml:space="preserve">. (</w:t>
      </w:r>
      <w:hyperlink r:id="rId10">
        <w:r>
          <w:rPr>
            <w:rStyle w:val="Hyperlink"/>
          </w:rPr>
          <w:t xml:space="preserve">tipranks.com</w:t>
        </w:r>
      </w:hyperlink>
      <w:r>
        <w:t xml:space="preserve">)</w:t>
      </w:r>
    </w:p>
    <w:p>
      <w:pPr>
        <w:pStyle w:val="BodyText"/>
      </w:pPr>
      <w:r>
        <w:t xml:space="preserve">The stock closed July 28 at</w:t>
      </w:r>
      <w:r>
        <w:t xml:space="preserve"> </w:t>
      </w:r>
      <w:r>
        <w:rPr>
          <w:b/>
          <w:bCs/>
        </w:rPr>
        <w:t xml:space="preserve">$147.08</w:t>
      </w:r>
      <w:r>
        <w:t xml:space="preserve">, down about</w:t>
      </w:r>
      <w:r>
        <w:t xml:space="preserve"> </w:t>
      </w:r>
      <w:r>
        <w:rPr>
          <w:b/>
          <w:bCs/>
        </w:rPr>
        <w:t xml:space="preserve">8% year to date</w:t>
      </w:r>
      <w:r>
        <w:t xml:space="preserve"> </w:t>
      </w:r>
      <w:r>
        <w:t xml:space="preserve">and roughly</w:t>
      </w:r>
      <w:r>
        <w:t xml:space="preserve"> </w:t>
      </w:r>
      <w:r>
        <w:rPr>
          <w:b/>
          <w:bCs/>
        </w:rPr>
        <w:t xml:space="preserve">4% since the day before the Q1 report</w:t>
      </w:r>
      <w:r>
        <w:t xml:space="preserve">. At the midpoint of management’s</w:t>
      </w:r>
      <w:r>
        <w:t xml:space="preserve"> </w:t>
      </w:r>
      <m:oMath>
        <m:r>
          <m:t>7.60</m:t>
        </m:r>
        <m:r>
          <m:rPr>
            <m:sty m:val="p"/>
          </m:rPr>
          <m:t>–</m:t>
        </m:r>
      </m:oMath>
      <w:r>
        <w:t xml:space="preserve">7.80 full-year core EPS guidance, shares trade at approximately</w:t>
      </w:r>
      <w:r>
        <w:t xml:space="preserve"> </w:t>
      </w:r>
      <w:r>
        <w:rPr>
          <w:b/>
          <w:bCs/>
        </w:rPr>
        <w:t xml:space="preserve">19 times 2026 earnings</w:t>
      </w:r>
      <w:r>
        <w:t xml:space="preserve">.</w:t>
      </w:r>
    </w:p>
    <w:p>
      <w:pPr>
        <w:pStyle w:val="BodyText"/>
      </w:pPr>
      <w:r>
        <w:t xml:space="preserve">That valuation is not extreme given CBRE’s growth, but it probably requires evidence that the Q1 strength was sustainable rather than simply a combination of favorable timing, currency and data-center development gains.</w:t>
      </w:r>
    </w:p>
    <w:bookmarkEnd w:id="11"/>
    <w:bookmarkStart w:id="13" w:name="X9d938a5f55c5287daf0cffab9b0e8b33b35d6a7"/>
    <w:p>
      <w:pPr>
        <w:pStyle w:val="Heading2"/>
      </w:pPr>
      <w:r>
        <w:t xml:space="preserve">The central question: can CBRE raise guidance again?</w:t>
      </w:r>
    </w:p>
    <w:p>
      <w:pPr>
        <w:pStyle w:val="FirstParagraph"/>
      </w:pPr>
      <w:r>
        <w:t xml:space="preserve">CBRE raised its full-year core EPS forecast after Q1 to</w:t>
      </w:r>
      <w:r>
        <w:t xml:space="preserve"> </w:t>
      </w:r>
      <m:oMath>
        <m:r>
          <m:t>7.60</m:t>
        </m:r>
        <m:r>
          <m:rPr>
            <m:sty m:val="p"/>
          </m:rPr>
          <m:t>–</m:t>
        </m:r>
      </m:oMath>
      <w:r>
        <w:rPr>
          <w:b/>
          <w:bCs/>
        </w:rPr>
        <w:t xml:space="preserve">7.80</w:t>
      </w:r>
      <w:r>
        <w:t xml:space="preserve">, from</w:t>
      </w:r>
      <w:r>
        <w:t xml:space="preserve"> </w:t>
      </w:r>
      <m:oMath>
        <m:r>
          <m:t>7.30</m:t>
        </m:r>
        <m:r>
          <m:rPr>
            <m:sty m:val="p"/>
          </m:rPr>
          <m:t>–</m:t>
        </m:r>
      </m:oMath>
      <w:r>
        <w:t xml:space="preserve">7.60. The midpoint implies approximately</w:t>
      </w:r>
      <w:r>
        <w:t xml:space="preserve"> </w:t>
      </w:r>
      <w:r>
        <w:rPr>
          <w:b/>
          <w:bCs/>
        </w:rPr>
        <w:t xml:space="preserve">21% growth</w:t>
      </w:r>
      <w:r>
        <w:t xml:space="preserve"> </w:t>
      </w:r>
      <w:r>
        <w:t xml:space="preserve">over 2025 core EPS of $6.38. Management attributed roughly one-third of the increase to Q1 outperformance and two-thirds to stronger expectations for the rest of the year. (</w:t>
      </w:r>
      <w:hyperlink r:id="rId12">
        <w:r>
          <w:rPr>
            <w:rStyle w:val="Hyperlink"/>
          </w:rPr>
          <w:t xml:space="preserve">ir.cbre.com</w:t>
        </w:r>
      </w:hyperlink>
      <w:r>
        <w:t xml:space="preserve">)</w:t>
      </w:r>
    </w:p>
    <w:p>
      <w:pPr>
        <w:pStyle w:val="BodyText"/>
      </w:pPr>
      <w:r>
        <w:t xml:space="preserve">The current consensus creates an interesting hurdle:</w:t>
      </w:r>
    </w:p>
    <w:p>
      <w:pPr>
        <w:pStyle w:val="Compact"/>
        <w:numPr>
          <w:ilvl w:val="0"/>
          <w:numId w:val="1001"/>
        </w:numPr>
      </w:pPr>
      <w:r>
        <w:t xml:space="preserve">Q1 core EPS:</w:t>
      </w:r>
      <w:r>
        <w:t xml:space="preserve"> </w:t>
      </w:r>
      <w:r>
        <w:rPr>
          <w:b/>
          <w:bCs/>
        </w:rPr>
        <w:t xml:space="preserve">$1.61</w:t>
      </w:r>
    </w:p>
    <w:p>
      <w:pPr>
        <w:pStyle w:val="Compact"/>
        <w:numPr>
          <w:ilvl w:val="0"/>
          <w:numId w:val="1001"/>
        </w:numPr>
      </w:pPr>
      <w:r>
        <w:t xml:space="preserve">Q2 consensus:</w:t>
      </w:r>
      <w:r>
        <w:t xml:space="preserve"> </w:t>
      </w:r>
      <w:r>
        <w:rPr>
          <w:b/>
          <w:bCs/>
        </w:rPr>
        <w:t xml:space="preserve">$1.47</w:t>
      </w:r>
    </w:p>
    <w:p>
      <w:pPr>
        <w:pStyle w:val="Compact"/>
        <w:numPr>
          <w:ilvl w:val="0"/>
          <w:numId w:val="1001"/>
        </w:numPr>
      </w:pPr>
      <w:r>
        <w:t xml:space="preserve">Implied first-half core EPS:</w:t>
      </w:r>
      <w:r>
        <w:t xml:space="preserve"> </w:t>
      </w:r>
      <w:r>
        <w:rPr>
          <w:b/>
          <w:bCs/>
        </w:rPr>
        <w:t xml:space="preserve">$3.08</w:t>
      </w:r>
    </w:p>
    <w:p>
      <w:pPr>
        <w:pStyle w:val="Compact"/>
        <w:numPr>
          <w:ilvl w:val="0"/>
          <w:numId w:val="1001"/>
        </w:numPr>
      </w:pPr>
      <w:r>
        <w:t xml:space="preserve">Percentage of the $7.70 guidance midpoint:</w:t>
      </w:r>
      <w:r>
        <w:t xml:space="preserve"> </w:t>
      </w:r>
      <w:r>
        <w:rPr>
          <w:b/>
          <w:bCs/>
        </w:rPr>
        <w:t xml:space="preserve">exactly 40%</w:t>
      </w:r>
    </w:p>
    <w:p>
      <w:pPr>
        <w:pStyle w:val="FirstParagraph"/>
      </w:pPr>
      <w:r>
        <w:t xml:space="preserve">That is consistent with management’s statement that nearly 40% of annual EPS would be generated in the first half. In other words, simply meeting the Q2 estimate would leave CBRE almost perfectly on its existing plan.</w:t>
      </w:r>
    </w:p>
    <w:p>
      <w:pPr>
        <w:pStyle w:val="BodyText"/>
      </w:pPr>
      <w:r>
        <w:rPr>
          <w:b/>
          <w:bCs/>
        </w:rPr>
        <w:t xml:space="preserve">The likely stock-moving issue is therefore not whether CBRE reiterates guidance, but whether it raises the range or signals meaningful upside to the second half.</w:t>
      </w:r>
      <w:r>
        <w:t xml:space="preserve"> </w:t>
      </w:r>
      <w:r>
        <w:t xml:space="preserve">A modest quarterly beat paired with unchanged guidance could be received as merely in line.</w:t>
      </w:r>
    </w:p>
    <w:bookmarkEnd w:id="13"/>
    <w:bookmarkStart w:id="19" w:name="what-matters-by-segment"/>
    <w:p>
      <w:pPr>
        <w:pStyle w:val="Heading2"/>
      </w:pPr>
      <w:r>
        <w:t xml:space="preserve">What matters by segment</w:t>
      </w:r>
    </w:p>
    <w:bookmarkStart w:id="14" w:name="X77f7f6619e52d4f5db1900babd4efc6a755b7f0"/>
    <w:p>
      <w:pPr>
        <w:pStyle w:val="Heading3"/>
      </w:pPr>
      <w:r>
        <w:t xml:space="preserve">1. Advisory: the biggest cyclical swing factor</w:t>
      </w:r>
    </w:p>
    <w:p>
      <w:pPr>
        <w:pStyle w:val="FirstParagraph"/>
      </w:pPr>
      <w:r>
        <w:t xml:space="preserve">Advisory produced outstanding Q1 results:</w:t>
      </w:r>
    </w:p>
    <w:p>
      <w:pPr>
        <w:pStyle w:val="Compact"/>
        <w:numPr>
          <w:ilvl w:val="0"/>
          <w:numId w:val="1002"/>
        </w:numPr>
      </w:pPr>
      <w:r>
        <w:t xml:space="preserve">Revenue increased</w:t>
      </w:r>
      <w:r>
        <w:t xml:space="preserve"> </w:t>
      </w:r>
      <w:r>
        <w:rPr>
          <w:b/>
          <w:bCs/>
        </w:rPr>
        <w:t xml:space="preserve">19% in local currency</w:t>
      </w:r>
      <w:r>
        <w:t xml:space="preserve">.</w:t>
      </w:r>
    </w:p>
    <w:p>
      <w:pPr>
        <w:pStyle w:val="Compact"/>
        <w:numPr>
          <w:ilvl w:val="0"/>
          <w:numId w:val="1002"/>
        </w:numPr>
      </w:pPr>
      <w:r>
        <w:t xml:space="preserve">Segment operating profit rose</w:t>
      </w:r>
      <w:r>
        <w:t xml:space="preserve"> </w:t>
      </w:r>
      <w:r>
        <w:rPr>
          <w:b/>
          <w:bCs/>
        </w:rPr>
        <w:t xml:space="preserve">35%</w:t>
      </w:r>
      <w:r>
        <w:t xml:space="preserve">.</w:t>
      </w:r>
    </w:p>
    <w:p>
      <w:pPr>
        <w:pStyle w:val="Compact"/>
        <w:numPr>
          <w:ilvl w:val="0"/>
          <w:numId w:val="1002"/>
        </w:numPr>
      </w:pPr>
      <w:r>
        <w:t xml:space="preserve">Global leasing revenue increased</w:t>
      </w:r>
      <w:r>
        <w:t xml:space="preserve"> </w:t>
      </w:r>
      <w:r>
        <w:rPr>
          <w:b/>
          <w:bCs/>
        </w:rPr>
        <w:t xml:space="preserve">18%</w:t>
      </w:r>
      <w:r>
        <w:t xml:space="preserve">.</w:t>
      </w:r>
    </w:p>
    <w:p>
      <w:pPr>
        <w:pStyle w:val="Compact"/>
        <w:numPr>
          <w:ilvl w:val="0"/>
          <w:numId w:val="1002"/>
        </w:numPr>
      </w:pPr>
      <w:r>
        <w:t xml:space="preserve">Property-sales revenue increased</w:t>
      </w:r>
      <w:r>
        <w:t xml:space="preserve"> </w:t>
      </w:r>
      <w:r>
        <w:rPr>
          <w:b/>
          <w:bCs/>
        </w:rPr>
        <w:t xml:space="preserve">39%</w:t>
      </w:r>
      <w:r>
        <w:t xml:space="preserve">.</w:t>
      </w:r>
    </w:p>
    <w:p>
      <w:pPr>
        <w:pStyle w:val="Compact"/>
        <w:numPr>
          <w:ilvl w:val="0"/>
          <w:numId w:val="1002"/>
        </w:numPr>
      </w:pPr>
      <w:r>
        <w:t xml:space="preserve">Mortgage-origination revenue rose</w:t>
      </w:r>
      <w:r>
        <w:t xml:space="preserve"> </w:t>
      </w:r>
      <w:r>
        <w:rPr>
          <w:b/>
          <w:bCs/>
        </w:rPr>
        <w:t xml:space="preserve">53%</w:t>
      </w:r>
      <w:r>
        <w:t xml:space="preserve">.</w:t>
      </w:r>
    </w:p>
    <w:p>
      <w:pPr>
        <w:pStyle w:val="FirstParagraph"/>
      </w:pPr>
      <w:r>
        <w:t xml:space="preserve">The company said its Q2 pipeline was stronger than initially expected, particularly in the United States. CBRE’s scale means that continued recovery in leasing, investment sales and financing should produce significant operating leverage.</w:t>
      </w:r>
    </w:p>
    <w:p>
      <w:pPr>
        <w:pStyle w:val="BodyText"/>
      </w:pPr>
      <w:r>
        <w:t xml:space="preserve">The questions for Q2 are:</w:t>
      </w:r>
    </w:p>
    <w:p>
      <w:pPr>
        <w:pStyle w:val="Compact"/>
        <w:numPr>
          <w:ilvl w:val="0"/>
          <w:numId w:val="1003"/>
        </w:numPr>
      </w:pPr>
      <w:r>
        <w:rPr>
          <w:b/>
          <w:bCs/>
        </w:rPr>
        <w:t xml:space="preserve">Did investment-sales growth remain near Q1’s unusually strong rate?</w:t>
      </w:r>
    </w:p>
    <w:p>
      <w:pPr>
        <w:pStyle w:val="Compact"/>
        <w:numPr>
          <w:ilvl w:val="0"/>
          <w:numId w:val="1003"/>
        </w:numPr>
      </w:pPr>
      <w:r>
        <w:rPr>
          <w:b/>
          <w:bCs/>
        </w:rPr>
        <w:t xml:space="preserve">Did higher and more volatile long-term interest rates delay transaction closings?</w:t>
      </w:r>
    </w:p>
    <w:p>
      <w:pPr>
        <w:pStyle w:val="Compact"/>
        <w:numPr>
          <w:ilvl w:val="0"/>
          <w:numId w:val="1003"/>
        </w:numPr>
      </w:pPr>
      <w:r>
        <w:rPr>
          <w:b/>
          <w:bCs/>
        </w:rPr>
        <w:t xml:space="preserve">Is office leasing still contributing, rather than growth being concentrated in industrial and data centers?</w:t>
      </w:r>
    </w:p>
    <w:p>
      <w:pPr>
        <w:pStyle w:val="Compact"/>
        <w:numPr>
          <w:ilvl w:val="0"/>
          <w:numId w:val="1003"/>
        </w:numPr>
      </w:pPr>
      <w:r>
        <w:rPr>
          <w:b/>
          <w:bCs/>
        </w:rPr>
        <w:t xml:space="preserve">Can Advisory margins rise further?</w:t>
      </w:r>
    </w:p>
    <w:p>
      <w:pPr>
        <w:pStyle w:val="FirstParagraph"/>
      </w:pPr>
      <w:r>
        <w:t xml:space="preserve">Management said in April that activity had continued to expand with the 10-year Treasury generally in a 4%–4.5% range, but that a significant move above that zone could slow sales and financing. The rate environment has since become less supportive, so pipeline commentary may matter more than reported Q2 revenue.</w:t>
      </w:r>
    </w:p>
    <w:p>
      <w:pPr>
        <w:pStyle w:val="BodyText"/>
      </w:pPr>
      <w:r>
        <w:rPr>
          <w:b/>
          <w:bCs/>
        </w:rPr>
        <w:t xml:space="preserve">Positive signal:</w:t>
      </w:r>
      <w:r>
        <w:t xml:space="preserve"> </w:t>
      </w:r>
      <w:r>
        <w:t xml:space="preserve">double-digit leasing growth, continued strength in property sales and no deterioration in conversion times.</w:t>
      </w:r>
    </w:p>
    <w:p>
      <w:pPr>
        <w:pStyle w:val="BodyText"/>
      </w:pPr>
      <w:r>
        <w:rPr>
          <w:b/>
          <w:bCs/>
        </w:rPr>
        <w:t xml:space="preserve">Warning signal:</w:t>
      </w:r>
      <w:r>
        <w:t xml:space="preserve"> </w:t>
      </w:r>
      <w:r>
        <w:t xml:space="preserve">a still-large pipeline accompanied by slower decision-making or pushed-out closing dates.</w:t>
      </w:r>
    </w:p>
    <w:bookmarkEnd w:id="14"/>
    <w:bookmarkStart w:id="16" w:name="X472f94be209483f63bac5aedffa3dcfb081f48d"/>
    <w:p>
      <w:pPr>
        <w:pStyle w:val="Heading3"/>
      </w:pPr>
      <w:r>
        <w:t xml:space="preserve">2. Building Operations &amp; Experience: the strategic centerpiece</w:t>
      </w:r>
    </w:p>
    <w:p>
      <w:pPr>
        <w:pStyle w:val="FirstParagraph"/>
      </w:pPr>
      <w:r>
        <w:t xml:space="preserve">BOE is increasingly important to the investment case because it combines recurring facilities-management revenue with rapid growth in critical-infrastructure services.</w:t>
      </w:r>
    </w:p>
    <w:p>
      <w:pPr>
        <w:pStyle w:val="BodyText"/>
      </w:pPr>
      <w:r>
        <w:t xml:space="preserve">In Q1:</w:t>
      </w:r>
    </w:p>
    <w:p>
      <w:pPr>
        <w:pStyle w:val="Compact"/>
        <w:numPr>
          <w:ilvl w:val="0"/>
          <w:numId w:val="1004"/>
        </w:numPr>
      </w:pPr>
      <w:r>
        <w:t xml:space="preserve">BOE revenue increased</w:t>
      </w:r>
      <w:r>
        <w:t xml:space="preserve"> </w:t>
      </w:r>
      <w:r>
        <w:rPr>
          <w:b/>
          <w:bCs/>
        </w:rPr>
        <w:t xml:space="preserve">16% in local currency</w:t>
      </w:r>
      <w:r>
        <w:t xml:space="preserve">.</w:t>
      </w:r>
    </w:p>
    <w:p>
      <w:pPr>
        <w:pStyle w:val="Compact"/>
        <w:numPr>
          <w:ilvl w:val="0"/>
          <w:numId w:val="1004"/>
        </w:numPr>
      </w:pPr>
      <w:r>
        <w:t xml:space="preserve">Segment operating profit increased</w:t>
      </w:r>
      <w:r>
        <w:t xml:space="preserve"> </w:t>
      </w:r>
      <w:r>
        <w:rPr>
          <w:b/>
          <w:bCs/>
        </w:rPr>
        <w:t xml:space="preserve">23%</w:t>
      </w:r>
      <w:r>
        <w:t xml:space="preserve">.</w:t>
      </w:r>
    </w:p>
    <w:p>
      <w:pPr>
        <w:pStyle w:val="Compact"/>
        <w:numPr>
          <w:ilvl w:val="0"/>
          <w:numId w:val="1004"/>
        </w:numPr>
      </w:pPr>
      <w:r>
        <w:t xml:space="preserve">Critical-infrastructure-services revenue rose</w:t>
      </w:r>
      <w:r>
        <w:t xml:space="preserve"> </w:t>
      </w:r>
      <w:r>
        <w:rPr>
          <w:b/>
          <w:bCs/>
        </w:rPr>
        <w:t xml:space="preserve">65% in local currency</w:t>
      </w:r>
      <w:r>
        <w:t xml:space="preserve">.</w:t>
      </w:r>
    </w:p>
    <w:p>
      <w:pPr>
        <w:pStyle w:val="Compact"/>
        <w:numPr>
          <w:ilvl w:val="0"/>
          <w:numId w:val="1004"/>
        </w:numPr>
      </w:pPr>
      <w:r>
        <w:t xml:space="preserve">CBRE forecast critical-infrastructure-services growth of more than</w:t>
      </w:r>
      <w:r>
        <w:t xml:space="preserve"> </w:t>
      </w:r>
      <w:r>
        <w:rPr>
          <w:b/>
          <w:bCs/>
        </w:rPr>
        <w:t xml:space="preserve">60% for 2026</w:t>
      </w:r>
      <w:r>
        <w:t xml:space="preserve">.</w:t>
      </w:r>
    </w:p>
    <w:p>
      <w:pPr>
        <w:pStyle w:val="Compact"/>
        <w:numPr>
          <w:ilvl w:val="0"/>
          <w:numId w:val="1004"/>
        </w:numPr>
      </w:pPr>
      <w:r>
        <w:t xml:space="preserve">The underlying local facilities-management business continued to grow at a mid-teens rate.</w:t>
      </w:r>
    </w:p>
    <w:p>
      <w:pPr>
        <w:pStyle w:val="FirstParagraph"/>
      </w:pPr>
      <w:r>
        <w:t xml:space="preserve">The report should help investors separate three sources of growth:</w:t>
      </w:r>
    </w:p>
    <w:p>
      <w:pPr>
        <w:pStyle w:val="Compact"/>
        <w:numPr>
          <w:ilvl w:val="0"/>
          <w:numId w:val="1005"/>
        </w:numPr>
      </w:pPr>
      <w:r>
        <w:t xml:space="preserve">Organic growth from existing facilities-management clients</w:t>
      </w:r>
    </w:p>
    <w:p>
      <w:pPr>
        <w:pStyle w:val="Compact"/>
        <w:numPr>
          <w:ilvl w:val="0"/>
          <w:numId w:val="1005"/>
        </w:numPr>
      </w:pPr>
      <w:r>
        <w:t xml:space="preserve">Contributions from Pearce Services</w:t>
      </w:r>
    </w:p>
    <w:p>
      <w:pPr>
        <w:pStyle w:val="Compact"/>
        <w:numPr>
          <w:ilvl w:val="0"/>
          <w:numId w:val="1005"/>
        </w:numPr>
      </w:pPr>
      <w:r>
        <w:t xml:space="preserve">Data-center and other critical-infrastructure wins</w:t>
      </w:r>
    </w:p>
    <w:p>
      <w:pPr>
        <w:pStyle w:val="FirstParagraph"/>
      </w:pPr>
      <w:r>
        <w:t xml:space="preserve">Reported BOE profit growth also benefited from a fleet-cost reclassification from operating costs to depreciation and amortization. That change has no effect on net income, so investors should focus on underlying margin performance rather than the headline segment operating-profit increase.</w:t>
      </w:r>
    </w:p>
    <w:p>
      <w:pPr>
        <w:pStyle w:val="BodyText"/>
      </w:pPr>
      <w:r>
        <w:t xml:space="preserve">The best outcome would be continued mid-teens underlying growth plus evidence that critical-infrastructure demand is broadening geographically and beyond a small group of hyperscalers.</w:t>
      </w:r>
    </w:p>
    <w:p>
      <w:pPr>
        <w:pStyle w:val="BodyText"/>
      </w:pPr>
      <w:r>
        <w:t xml:space="preserve">Management may also update the multiyear Meta LevelUp initiative, under which CBRE is recruiting and training technicians for U.S. data-center construction and operations. CBRE has characterized this as an enduring service opportunity rather than a one-time project. The program reinforces the strategic value of CBRE’s labor-recruitment and facilities platform. (</w:t>
      </w:r>
      <w:hyperlink r:id="rId15">
        <w:r>
          <w:rPr>
            <w:rStyle w:val="Hyperlink"/>
          </w:rPr>
          <w:t xml:space="preserve">ir.cbre.com</w:t>
        </w:r>
      </w:hyperlink>
      <w:r>
        <w:t xml:space="preserve">)</w:t>
      </w:r>
    </w:p>
    <w:bookmarkEnd w:id="16"/>
    <w:bookmarkStart w:id="17" w:name="X3f303cea80ccd93593af696a94f4a484eb64a22"/>
    <w:p>
      <w:pPr>
        <w:pStyle w:val="Heading3"/>
      </w:pPr>
      <w:r>
        <w:t xml:space="preserve">3. Project Management: watch the non-data-center business</w:t>
      </w:r>
    </w:p>
    <w:p>
      <w:pPr>
        <w:pStyle w:val="FirstParagraph"/>
      </w:pPr>
      <w:r>
        <w:t xml:space="preserve">Q1 Project Management revenue increased</w:t>
      </w:r>
      <w:r>
        <w:t xml:space="preserve"> </w:t>
      </w:r>
      <w:r>
        <w:rPr>
          <w:b/>
          <w:bCs/>
        </w:rPr>
        <w:t xml:space="preserve">11% in local currency</w:t>
      </w:r>
      <w:r>
        <w:t xml:space="preserve">, with segment operating profit up</w:t>
      </w:r>
      <w:r>
        <w:t xml:space="preserve"> </w:t>
      </w:r>
      <w:r>
        <w:rPr>
          <w:b/>
          <w:bCs/>
        </w:rPr>
        <w:t xml:space="preserve">14%</w:t>
      </w:r>
      <w:r>
        <w:t xml:space="preserve">. Infrastructure and technology-sector projects were the principal drivers.</w:t>
      </w:r>
    </w:p>
    <w:p>
      <w:pPr>
        <w:pStyle w:val="BodyText"/>
      </w:pPr>
      <w:r>
        <w:t xml:space="preserve">Management previously noted some slowing in corporate capital-investment decisions outside data centers. The Q2 call should clarify whether:</w:t>
      </w:r>
    </w:p>
    <w:p>
      <w:pPr>
        <w:pStyle w:val="Compact"/>
        <w:numPr>
          <w:ilvl w:val="0"/>
          <w:numId w:val="1006"/>
        </w:numPr>
      </w:pPr>
      <w:r>
        <w:t xml:space="preserve">Data-center projects are offsetting softer conventional corporate spending</w:t>
      </w:r>
    </w:p>
    <w:p>
      <w:pPr>
        <w:pStyle w:val="Compact"/>
        <w:numPr>
          <w:ilvl w:val="0"/>
          <w:numId w:val="1006"/>
        </w:numPr>
      </w:pPr>
      <w:r>
        <w:t xml:space="preserve">Turner &amp; Townsend continues to expand in the United States</w:t>
      </w:r>
    </w:p>
    <w:p>
      <w:pPr>
        <w:pStyle w:val="Compact"/>
        <w:numPr>
          <w:ilvl w:val="0"/>
          <w:numId w:val="1006"/>
        </w:numPr>
      </w:pPr>
      <w:r>
        <w:t xml:space="preserve">Revenue growth is translating into sustained operating leverage</w:t>
      </w:r>
    </w:p>
    <w:p>
      <w:pPr>
        <w:pStyle w:val="Compact"/>
        <w:numPr>
          <w:ilvl w:val="0"/>
          <w:numId w:val="1006"/>
        </w:numPr>
      </w:pPr>
      <w:r>
        <w:t xml:space="preserve">Project backlogs remain healthy</w:t>
      </w:r>
    </w:p>
    <w:p>
      <w:pPr>
        <w:pStyle w:val="FirstParagraph"/>
      </w:pPr>
      <w:r>
        <w:t xml:space="preserve">A quarter driven almost entirely by data centers would still be financially positive, but broader growth would provide more confidence in the durability of the segment.</w:t>
      </w:r>
    </w:p>
    <w:bookmarkEnd w:id="17"/>
    <w:bookmarkStart w:id="18" w:name="X2b641320d461184f4bbe97e0ebe8867271f654c"/>
    <w:p>
      <w:pPr>
        <w:pStyle w:val="Heading3"/>
      </w:pPr>
      <w:r>
        <w:t xml:space="preserve">4. Real Estate Investments: expect lumpiness</w:t>
      </w:r>
    </w:p>
    <w:p>
      <w:pPr>
        <w:pStyle w:val="FirstParagraph"/>
      </w:pPr>
      <w:r>
        <w:t xml:space="preserve">Q1 Real Estate Investments profit was boosted by the earlier-than-expected monetization of data-center land. Global development generated</w:t>
      </w:r>
      <w:r>
        <w:t xml:space="preserve"> </w:t>
      </w:r>
      <w:r>
        <w:rPr>
          <w:b/>
          <w:bCs/>
        </w:rPr>
        <w:t xml:space="preserve">$145 million</w:t>
      </w:r>
      <w:r>
        <w:t xml:space="preserve"> </w:t>
      </w:r>
      <w:r>
        <w:t xml:space="preserve">of operating profit, and CBRE said this represented a timing shift rather than an increase to its full-year expectations.</w:t>
      </w:r>
    </w:p>
    <w:p>
      <w:pPr>
        <w:pStyle w:val="BodyText"/>
      </w:pPr>
      <w:r>
        <w:t xml:space="preserve">Consequently, investors should not extrapolate the Q1 result into Q2.</w:t>
      </w:r>
    </w:p>
    <w:p>
      <w:pPr>
        <w:pStyle w:val="BodyText"/>
      </w:pPr>
      <w:r>
        <w:t xml:space="preserve">CBRE reported approximately</w:t>
      </w:r>
      <w:r>
        <w:t xml:space="preserve"> </w:t>
      </w:r>
      <w:r>
        <w:rPr>
          <w:b/>
          <w:bCs/>
        </w:rPr>
        <w:t xml:space="preserve">$900 million of embedded development gains</w:t>
      </w:r>
      <w:r>
        <w:t xml:space="preserve"> </w:t>
      </w:r>
      <w:r>
        <w:t xml:space="preserve">to be monetized over several years, with a $29.6 billion in-process and pipeline portfolio at the end of Q1. Data-center land remains a potentially significant source of value, but management has emphasized the difficulty of securing power, water and approvals.</w:t>
      </w:r>
    </w:p>
    <w:p>
      <w:pPr>
        <w:pStyle w:val="BodyText"/>
      </w:pPr>
      <w:r>
        <w:t xml:space="preserve">For Q2, the higher-quality indicators would be:</w:t>
      </w:r>
    </w:p>
    <w:p>
      <w:pPr>
        <w:pStyle w:val="Compact"/>
        <w:numPr>
          <w:ilvl w:val="0"/>
          <w:numId w:val="1007"/>
        </w:numPr>
      </w:pPr>
      <w:r>
        <w:t xml:space="preserve">Growth in recurring investment-management fees</w:t>
      </w:r>
    </w:p>
    <w:p>
      <w:pPr>
        <w:pStyle w:val="Compact"/>
        <w:numPr>
          <w:ilvl w:val="0"/>
          <w:numId w:val="1007"/>
        </w:numPr>
      </w:pPr>
      <w:r>
        <w:t xml:space="preserve">Net capital raising</w:t>
      </w:r>
    </w:p>
    <w:p>
      <w:pPr>
        <w:pStyle w:val="Compact"/>
        <w:numPr>
          <w:ilvl w:val="0"/>
          <w:numId w:val="1007"/>
        </w:numPr>
      </w:pPr>
      <w:r>
        <w:t xml:space="preserve">Stable or increasing assets under management</w:t>
      </w:r>
    </w:p>
    <w:p>
      <w:pPr>
        <w:pStyle w:val="Compact"/>
        <w:numPr>
          <w:ilvl w:val="0"/>
          <w:numId w:val="1007"/>
        </w:numPr>
      </w:pPr>
      <w:r>
        <w:t xml:space="preserve">Replenishment of the development pipeline</w:t>
      </w:r>
    </w:p>
    <w:p>
      <w:pPr>
        <w:pStyle w:val="Compact"/>
        <w:numPr>
          <w:ilvl w:val="0"/>
          <w:numId w:val="1007"/>
        </w:numPr>
      </w:pPr>
      <w:r>
        <w:t xml:space="preserve">Additional land monetizations without a large increase in CBRE’s own capital at risk</w:t>
      </w:r>
    </w:p>
    <w:p>
      <w:pPr>
        <w:pStyle w:val="FirstParagraph"/>
      </w:pPr>
      <w:r>
        <w:t xml:space="preserve">A development gain would help EPS, but investors should distinguish recurring operating progress from inherently volatile asset-sale timing.</w:t>
      </w:r>
    </w:p>
    <w:bookmarkEnd w:id="18"/>
    <w:bookmarkEnd w:id="19"/>
    <w:bookmarkStart w:id="20" w:name="capital-allocation-and-balance-sheet"/>
    <w:p>
      <w:pPr>
        <w:pStyle w:val="Heading2"/>
      </w:pPr>
      <w:r>
        <w:t xml:space="preserve">Capital allocation and balance sheet</w:t>
      </w:r>
    </w:p>
    <w:p>
      <w:pPr>
        <w:pStyle w:val="FirstParagraph"/>
      </w:pPr>
      <w:r>
        <w:t xml:space="preserve">CBRE repurchased almost</w:t>
      </w:r>
      <w:r>
        <w:t xml:space="preserve"> </w:t>
      </w:r>
      <w:r>
        <w:rPr>
          <w:b/>
          <w:bCs/>
        </w:rPr>
        <w:t xml:space="preserve">$540 million</w:t>
      </w:r>
      <w:r>
        <w:t xml:space="preserve"> </w:t>
      </w:r>
      <w:r>
        <w:t xml:space="preserve">of stock through April 21, largely around an average price of approximately $148—close to the current share price. Q1 diluted shares were about 297 million, down roughly 2% year over year.</w:t>
      </w:r>
    </w:p>
    <w:p>
      <w:pPr>
        <w:pStyle w:val="BodyText"/>
      </w:pPr>
      <w:r>
        <w:t xml:space="preserve">The balance sheet remained manageable at the end of Q1:</w:t>
      </w:r>
    </w:p>
    <w:p>
      <w:pPr>
        <w:pStyle w:val="Compact"/>
        <w:numPr>
          <w:ilvl w:val="0"/>
          <w:numId w:val="1008"/>
        </w:numPr>
      </w:pPr>
      <w:r>
        <w:t xml:space="preserve">Net debt:</w:t>
      </w:r>
      <w:r>
        <w:t xml:space="preserve"> </w:t>
      </w:r>
      <w:r>
        <w:rPr>
          <w:b/>
          <w:bCs/>
        </w:rPr>
        <w:t xml:space="preserve">$5.35 billion</w:t>
      </w:r>
    </w:p>
    <w:p>
      <w:pPr>
        <w:pStyle w:val="Compact"/>
        <w:numPr>
          <w:ilvl w:val="0"/>
          <w:numId w:val="1008"/>
        </w:numPr>
      </w:pPr>
      <w:r>
        <w:t xml:space="preserve">Trailing core EBITDA:</w:t>
      </w:r>
      <w:r>
        <w:t xml:space="preserve"> </w:t>
      </w:r>
      <w:r>
        <w:rPr>
          <w:b/>
          <w:bCs/>
        </w:rPr>
        <w:t xml:space="preserve">$3.47 billion</w:t>
      </w:r>
    </w:p>
    <w:p>
      <w:pPr>
        <w:pStyle w:val="Compact"/>
        <w:numPr>
          <w:ilvl w:val="0"/>
          <w:numId w:val="1008"/>
        </w:numPr>
      </w:pPr>
      <w:r>
        <w:t xml:space="preserve">Net leverage:</w:t>
      </w:r>
      <w:r>
        <w:t xml:space="preserve"> </w:t>
      </w:r>
      <w:r>
        <w:rPr>
          <w:b/>
          <w:bCs/>
        </w:rPr>
        <w:t xml:space="preserve">1.54 times</w:t>
      </w:r>
    </w:p>
    <w:p>
      <w:pPr>
        <w:pStyle w:val="Compact"/>
        <w:numPr>
          <w:ilvl w:val="0"/>
          <w:numId w:val="1008"/>
        </w:numPr>
      </w:pPr>
      <w:r>
        <w:t xml:space="preserve">Total liquidity: approximately</w:t>
      </w:r>
      <w:r>
        <w:t xml:space="preserve"> </w:t>
      </w:r>
      <w:r>
        <w:rPr>
          <w:b/>
          <w:bCs/>
        </w:rPr>
        <w:t xml:space="preserve">$4.4 billion</w:t>
      </w:r>
    </w:p>
    <w:p>
      <w:pPr>
        <w:pStyle w:val="FirstParagraph"/>
      </w:pPr>
      <w:r>
        <w:t xml:space="preserve">CBRE subsequently priced $750 million of senior notes and renewed a $1 billion 364-day revolving facility. The company has ample flexibility, but investors should watch whether cash is directed toward:</w:t>
      </w:r>
    </w:p>
    <w:p>
      <w:pPr>
        <w:pStyle w:val="Compact"/>
        <w:numPr>
          <w:ilvl w:val="0"/>
          <w:numId w:val="1009"/>
        </w:numPr>
      </w:pPr>
      <w:r>
        <w:t xml:space="preserve">Critical-infrastructure acquisitions</w:t>
      </w:r>
    </w:p>
    <w:p>
      <w:pPr>
        <w:pStyle w:val="Compact"/>
        <w:numPr>
          <w:ilvl w:val="0"/>
          <w:numId w:val="1009"/>
        </w:numPr>
      </w:pPr>
      <w:r>
        <w:t xml:space="preserve">Additional repurchases</w:t>
      </w:r>
    </w:p>
    <w:p>
      <w:pPr>
        <w:pStyle w:val="Compact"/>
        <w:numPr>
          <w:ilvl w:val="0"/>
          <w:numId w:val="1009"/>
        </w:numPr>
      </w:pPr>
      <w:r>
        <w:t xml:space="preserve">Development investments</w:t>
      </w:r>
    </w:p>
    <w:p>
      <w:pPr>
        <w:pStyle w:val="Compact"/>
        <w:numPr>
          <w:ilvl w:val="0"/>
          <w:numId w:val="1009"/>
        </w:numPr>
      </w:pPr>
      <w:r>
        <w:t xml:space="preserve">Debt reduction</w:t>
      </w:r>
    </w:p>
    <w:p>
      <w:pPr>
        <w:pStyle w:val="FirstParagraph"/>
      </w:pPr>
      <w:r>
        <w:t xml:space="preserve">Management has said M&amp;A remains the first capital-allocation priority, particularly where CBRE can expand its data-center and infrastructure capabilities.</w:t>
      </w:r>
    </w:p>
    <w:bookmarkEnd w:id="20"/>
    <w:bookmarkStart w:id="21" w:name="key-items-to-monitor-on-the-call"/>
    <w:p>
      <w:pPr>
        <w:pStyle w:val="Heading2"/>
      </w:pPr>
      <w:r>
        <w:t xml:space="preserve">Key items to monitor on the call</w:t>
      </w:r>
    </w:p>
    <w:p>
      <w:pPr>
        <w:pStyle w:val="Compact"/>
        <w:numPr>
          <w:ilvl w:val="0"/>
          <w:numId w:val="1010"/>
        </w:numPr>
      </w:pPr>
      <w:r>
        <w:rPr>
          <w:b/>
          <w:bCs/>
        </w:rPr>
        <w:t xml:space="preserve">Full-year core EPS guidance:</w:t>
      </w:r>
      <w:r>
        <w:t xml:space="preserve"> </w:t>
      </w:r>
      <w:r>
        <w:t xml:space="preserve">Is</w:t>
      </w:r>
      <w:r>
        <w:t xml:space="preserve"> </w:t>
      </w:r>
      <m:oMath>
        <m:r>
          <m:t>7.60</m:t>
        </m:r>
        <m:r>
          <m:rPr>
            <m:sty m:val="p"/>
          </m:rPr>
          <m:t>–</m:t>
        </m:r>
      </m:oMath>
      <w:r>
        <w:t xml:space="preserve">7.80 raised, reiterated or qualified?</w:t>
      </w:r>
    </w:p>
    <w:p>
      <w:pPr>
        <w:pStyle w:val="Compact"/>
        <w:numPr>
          <w:ilvl w:val="0"/>
          <w:numId w:val="1010"/>
        </w:numPr>
      </w:pPr>
      <w:r>
        <w:rPr>
          <w:b/>
          <w:bCs/>
        </w:rPr>
        <w:t xml:space="preserve">Second-half deceleration:</w:t>
      </w:r>
      <w:r>
        <w:t xml:space="preserve"> </w:t>
      </w:r>
      <w:r>
        <w:t xml:space="preserve">How much is due to tougher comparisons versus a genuine slowing in demand?</w:t>
      </w:r>
    </w:p>
    <w:p>
      <w:pPr>
        <w:pStyle w:val="Compact"/>
        <w:numPr>
          <w:ilvl w:val="0"/>
          <w:numId w:val="1010"/>
        </w:numPr>
      </w:pPr>
      <w:r>
        <w:rPr>
          <w:b/>
          <w:bCs/>
        </w:rPr>
        <w:t xml:space="preserve">Advisory pipeline conversion:</w:t>
      </w:r>
      <w:r>
        <w:t xml:space="preserve"> </w:t>
      </w:r>
      <w:r>
        <w:t xml:space="preserve">Are higher rates pushing transactions into later quarters?</w:t>
      </w:r>
    </w:p>
    <w:p>
      <w:pPr>
        <w:pStyle w:val="Compact"/>
        <w:numPr>
          <w:ilvl w:val="0"/>
          <w:numId w:val="1010"/>
        </w:numPr>
      </w:pPr>
      <w:r>
        <w:rPr>
          <w:b/>
          <w:bCs/>
        </w:rPr>
        <w:t xml:space="preserve">Critical-infrastructure growth:</w:t>
      </w:r>
      <w:r>
        <w:t xml:space="preserve"> </w:t>
      </w:r>
      <w:r>
        <w:t xml:space="preserve">Is the greater-than-60% annual target intact?</w:t>
      </w:r>
    </w:p>
    <w:p>
      <w:pPr>
        <w:pStyle w:val="Compact"/>
        <w:numPr>
          <w:ilvl w:val="0"/>
          <w:numId w:val="1010"/>
        </w:numPr>
      </w:pPr>
      <w:r>
        <w:rPr>
          <w:b/>
          <w:bCs/>
        </w:rPr>
        <w:t xml:space="preserve">BOE organic growth and margins:</w:t>
      </w:r>
      <w:r>
        <w:t xml:space="preserve"> </w:t>
      </w:r>
      <w:r>
        <w:t xml:space="preserve">How much comes from Pearce, and how much from the underlying business?</w:t>
      </w:r>
    </w:p>
    <w:p>
      <w:pPr>
        <w:pStyle w:val="Compact"/>
        <w:numPr>
          <w:ilvl w:val="0"/>
          <w:numId w:val="1010"/>
        </w:numPr>
      </w:pPr>
      <w:r>
        <w:rPr>
          <w:b/>
          <w:bCs/>
        </w:rPr>
        <w:t xml:space="preserve">Corporate project spending:</w:t>
      </w:r>
      <w:r>
        <w:t xml:space="preserve"> </w:t>
      </w:r>
      <w:r>
        <w:t xml:space="preserve">Is weakness outside data centers becoming material?</w:t>
      </w:r>
    </w:p>
    <w:p>
      <w:pPr>
        <w:pStyle w:val="Compact"/>
        <w:numPr>
          <w:ilvl w:val="0"/>
          <w:numId w:val="1010"/>
        </w:numPr>
      </w:pPr>
      <w:r>
        <w:rPr>
          <w:b/>
          <w:bCs/>
        </w:rPr>
        <w:t xml:space="preserve">Development profits:</w:t>
      </w:r>
      <w:r>
        <w:t xml:space="preserve"> </w:t>
      </w:r>
      <w:r>
        <w:t xml:space="preserve">Any new data-center land monetizations, and has the $900 million embedded-gain estimate changed?</w:t>
      </w:r>
    </w:p>
    <w:p>
      <w:pPr>
        <w:pStyle w:val="Compact"/>
        <w:numPr>
          <w:ilvl w:val="0"/>
          <w:numId w:val="1010"/>
        </w:numPr>
      </w:pPr>
      <w:r>
        <w:rPr>
          <w:b/>
          <w:bCs/>
        </w:rPr>
        <w:t xml:space="preserve">AUM and fundraising:</w:t>
      </w:r>
      <w:r>
        <w:t xml:space="preserve"> </w:t>
      </w:r>
      <w:r>
        <w:t xml:space="preserve">Can investment management resume growth despite difficult real-estate fundraising conditions?</w:t>
      </w:r>
    </w:p>
    <w:p>
      <w:pPr>
        <w:pStyle w:val="Compact"/>
        <w:numPr>
          <w:ilvl w:val="0"/>
          <w:numId w:val="1010"/>
        </w:numPr>
      </w:pPr>
      <w:r>
        <w:rPr>
          <w:b/>
          <w:bCs/>
        </w:rPr>
        <w:t xml:space="preserve">Buybacks:</w:t>
      </w:r>
      <w:r>
        <w:t xml:space="preserve"> </w:t>
      </w:r>
      <w:r>
        <w:t xml:space="preserve">Has CBRE continued buying shares near or below the Q1 average purchase price?</w:t>
      </w:r>
    </w:p>
    <w:p>
      <w:pPr>
        <w:pStyle w:val="Compact"/>
        <w:numPr>
          <w:ilvl w:val="0"/>
          <w:numId w:val="1010"/>
        </w:numPr>
      </w:pPr>
      <w:r>
        <w:rPr>
          <w:b/>
          <w:bCs/>
        </w:rPr>
        <w:t xml:space="preserve">Interest-rate sensitivity:</w:t>
      </w:r>
      <w:r>
        <w:t xml:space="preserve"> </w:t>
      </w:r>
      <w:r>
        <w:t xml:space="preserve">What rate level would cause clients to pause leasing, sales or financing decisions?</w:t>
      </w:r>
    </w:p>
    <w:bookmarkEnd w:id="21"/>
    <w:bookmarkStart w:id="25" w:name="potential-reaction-framework"/>
    <w:p>
      <w:pPr>
        <w:pStyle w:val="Heading2"/>
      </w:pPr>
      <w:r>
        <w:t xml:space="preserve">Potential reaction framework</w:t>
      </w:r>
    </w:p>
    <w:bookmarkStart w:id="22" w:name="bull-case"/>
    <w:p>
      <w:pPr>
        <w:pStyle w:val="Heading3"/>
      </w:pPr>
      <w:r>
        <w:t xml:space="preserve">Bull case</w:t>
      </w:r>
    </w:p>
    <w:p>
      <w:pPr>
        <w:pStyle w:val="Compact"/>
        <w:numPr>
          <w:ilvl w:val="0"/>
          <w:numId w:val="1011"/>
        </w:numPr>
      </w:pPr>
      <w:r>
        <w:t xml:space="preserve">Core EPS comfortably exceeds $1.47.</w:t>
      </w:r>
    </w:p>
    <w:p>
      <w:pPr>
        <w:pStyle w:val="Compact"/>
        <w:numPr>
          <w:ilvl w:val="0"/>
          <w:numId w:val="1011"/>
        </w:numPr>
      </w:pPr>
      <w:r>
        <w:t xml:space="preserve">Advisory maintains strong double-digit growth.</w:t>
      </w:r>
    </w:p>
    <w:p>
      <w:pPr>
        <w:pStyle w:val="Compact"/>
        <w:numPr>
          <w:ilvl w:val="0"/>
          <w:numId w:val="1011"/>
        </w:numPr>
      </w:pPr>
      <w:r>
        <w:t xml:space="preserve">Critical-infrastructure services remain on track for more than 60% growth.</w:t>
      </w:r>
    </w:p>
    <w:p>
      <w:pPr>
        <w:pStyle w:val="Compact"/>
        <w:numPr>
          <w:ilvl w:val="0"/>
          <w:numId w:val="1011"/>
        </w:numPr>
      </w:pPr>
      <w:r>
        <w:t xml:space="preserve">Management raises full-year EPS guidance above $7.80 at the high end.</w:t>
      </w:r>
    </w:p>
    <w:p>
      <w:pPr>
        <w:pStyle w:val="Compact"/>
        <w:numPr>
          <w:ilvl w:val="0"/>
          <w:numId w:val="1011"/>
        </w:numPr>
      </w:pPr>
      <w:r>
        <w:t xml:space="preserve">Q2 strength is driven by recurring services and transactions—not primarily development gains.</w:t>
      </w:r>
    </w:p>
    <w:p>
      <w:pPr>
        <w:pStyle w:val="FirstParagraph"/>
      </w:pPr>
      <w:r>
        <w:t xml:space="preserve">This would support the view that CBRE is simultaneously benefiting from a commercial-real-estate recovery and a structural infrastructure/data-center expansion.</w:t>
      </w:r>
    </w:p>
    <w:bookmarkEnd w:id="22"/>
    <w:bookmarkStart w:id="23" w:name="base-case"/>
    <w:p>
      <w:pPr>
        <w:pStyle w:val="Heading3"/>
      </w:pPr>
      <w:r>
        <w:t xml:space="preserve">Base case</w:t>
      </w:r>
    </w:p>
    <w:p>
      <w:pPr>
        <w:pStyle w:val="Compact"/>
        <w:numPr>
          <w:ilvl w:val="0"/>
          <w:numId w:val="1012"/>
        </w:numPr>
      </w:pPr>
      <w:r>
        <w:t xml:space="preserve">Revenue and EPS are near consensus.</w:t>
      </w:r>
    </w:p>
    <w:p>
      <w:pPr>
        <w:pStyle w:val="Compact"/>
        <w:numPr>
          <w:ilvl w:val="0"/>
          <w:numId w:val="1012"/>
        </w:numPr>
      </w:pPr>
      <w:r>
        <w:t xml:space="preserve">Advisory growth moderates from Q1 but remains healthy.</w:t>
      </w:r>
    </w:p>
    <w:p>
      <w:pPr>
        <w:pStyle w:val="Compact"/>
        <w:numPr>
          <w:ilvl w:val="0"/>
          <w:numId w:val="1012"/>
        </w:numPr>
      </w:pPr>
      <w:r>
        <w:t xml:space="preserve">BOE and Project Management perform as expected.</w:t>
      </w:r>
    </w:p>
    <w:p>
      <w:pPr>
        <w:pStyle w:val="Compact"/>
        <w:numPr>
          <w:ilvl w:val="0"/>
          <w:numId w:val="1012"/>
        </w:numPr>
      </w:pPr>
      <w:r>
        <w:t xml:space="preserve">Guidance is reiterated or raised only modestly.</w:t>
      </w:r>
    </w:p>
    <w:p>
      <w:pPr>
        <w:pStyle w:val="Compact"/>
        <w:numPr>
          <w:ilvl w:val="0"/>
          <w:numId w:val="1012"/>
        </w:numPr>
      </w:pPr>
      <w:r>
        <w:t xml:space="preserve">Management remains constructive but notes tougher second-half comparisons.</w:t>
      </w:r>
    </w:p>
    <w:p>
      <w:pPr>
        <w:pStyle w:val="FirstParagraph"/>
      </w:pPr>
      <w:r>
        <w:t xml:space="preserve">This would confirm execution, although the stock response could be muted because consensus already maps closely to management’s first-half seasonality assumptions.</w:t>
      </w:r>
    </w:p>
    <w:bookmarkEnd w:id="23"/>
    <w:bookmarkStart w:id="24" w:name="bear-case"/>
    <w:p>
      <w:pPr>
        <w:pStyle w:val="Heading3"/>
      </w:pPr>
      <w:r>
        <w:t xml:space="preserve">Bear case</w:t>
      </w:r>
    </w:p>
    <w:p>
      <w:pPr>
        <w:pStyle w:val="Compact"/>
        <w:numPr>
          <w:ilvl w:val="0"/>
          <w:numId w:val="1013"/>
        </w:numPr>
      </w:pPr>
      <w:r>
        <w:t xml:space="preserve">Investment-sales or mortgage-origination growth slows sharply.</w:t>
      </w:r>
    </w:p>
    <w:p>
      <w:pPr>
        <w:pStyle w:val="Compact"/>
        <w:numPr>
          <w:ilvl w:val="0"/>
          <w:numId w:val="1013"/>
        </w:numPr>
      </w:pPr>
      <w:r>
        <w:t xml:space="preserve">Management cites delayed client decisions or weaker pipeline conversion.</w:t>
      </w:r>
    </w:p>
    <w:p>
      <w:pPr>
        <w:pStyle w:val="Compact"/>
        <w:numPr>
          <w:ilvl w:val="0"/>
          <w:numId w:val="1013"/>
        </w:numPr>
      </w:pPr>
      <w:r>
        <w:t xml:space="preserve">BOE growth depends more heavily on acquisitions than expected.</w:t>
      </w:r>
    </w:p>
    <w:p>
      <w:pPr>
        <w:pStyle w:val="Compact"/>
        <w:numPr>
          <w:ilvl w:val="0"/>
          <w:numId w:val="1013"/>
        </w:numPr>
      </w:pPr>
      <w:r>
        <w:t xml:space="preserve">Project spending weakens outside data centers.</w:t>
      </w:r>
    </w:p>
    <w:p>
      <w:pPr>
        <w:pStyle w:val="Compact"/>
        <w:numPr>
          <w:ilvl w:val="0"/>
          <w:numId w:val="1013"/>
        </w:numPr>
      </w:pPr>
      <w:r>
        <w:t xml:space="preserve">Guidance is maintained only because of Q1’s pulled-forward development profit—or is reduced.</w:t>
      </w:r>
    </w:p>
    <w:p>
      <w:pPr>
        <w:pStyle w:val="FirstParagraph"/>
      </w:pPr>
      <w:r>
        <w:t xml:space="preserve">The most damaging outcome would be evidence that Q1 represented a high-water mark for transactional growth while persistent rates are beginning to impair the second-half outlook.</w:t>
      </w:r>
    </w:p>
    <w:bookmarkEnd w:id="24"/>
    <w:bookmarkEnd w:id="25"/>
    <w:bookmarkStart w:id="26" w:name="bottom-line"/>
    <w:p>
      <w:pPr>
        <w:pStyle w:val="Heading2"/>
      </w:pPr>
      <w:r>
        <w:t xml:space="preserve">Bottom line</w:t>
      </w:r>
    </w:p>
    <w:p>
      <w:pPr>
        <w:pStyle w:val="FirstParagraph"/>
      </w:pPr>
      <w:r>
        <w:t xml:space="preserve">CBRE does not need another spectacular quarter to remain on track for strong 2026 earnings growth. But because Q1 was so strong and management already raised guidance,</w:t>
      </w:r>
      <w:r>
        <w:t xml:space="preserve"> </w:t>
      </w:r>
      <w:r>
        <w:rPr>
          <w:b/>
          <w:bCs/>
        </w:rPr>
        <w:t xml:space="preserve">the hurdle for a clearly positive report is higher than the headline consensus suggests</w:t>
      </w:r>
      <w:r>
        <w:t xml:space="preserve">.</w:t>
      </w:r>
    </w:p>
    <w:p>
      <w:pPr>
        <w:pStyle w:val="BodyText"/>
      </w:pPr>
      <w:r>
        <w:t xml:space="preserve">The most important evidence will be:</w:t>
      </w:r>
    </w:p>
    <w:p>
      <w:pPr>
        <w:pStyle w:val="Compact"/>
        <w:numPr>
          <w:ilvl w:val="0"/>
          <w:numId w:val="1014"/>
        </w:numPr>
      </w:pPr>
      <w:r>
        <w:t xml:space="preserve">Continued Advisory pipeline conversion despite higher rates</w:t>
      </w:r>
    </w:p>
    <w:p>
      <w:pPr>
        <w:pStyle w:val="Compact"/>
        <w:numPr>
          <w:ilvl w:val="0"/>
          <w:numId w:val="1014"/>
        </w:numPr>
      </w:pPr>
      <w:r>
        <w:t xml:space="preserve">Organic, margin-accretive growth in BOE</w:t>
      </w:r>
    </w:p>
    <w:p>
      <w:pPr>
        <w:pStyle w:val="Compact"/>
        <w:numPr>
          <w:ilvl w:val="0"/>
          <w:numId w:val="1014"/>
        </w:numPr>
      </w:pPr>
      <w:r>
        <w:t xml:space="preserve">Sustained critical-infrastructure momentum</w:t>
      </w:r>
    </w:p>
    <w:p>
      <w:pPr>
        <w:pStyle w:val="Compact"/>
        <w:numPr>
          <w:ilvl w:val="0"/>
          <w:numId w:val="1014"/>
        </w:numPr>
      </w:pPr>
      <w:r>
        <w:t xml:space="preserve">A guidance increase supported by recurring operations rather than development timing</w:t>
      </w:r>
    </w:p>
    <w:p>
      <w:pPr>
        <w:pStyle w:val="FirstParagraph"/>
      </w:pPr>
      <w:r>
        <w:t xml:space="preserve">A clean beat with a higher outlook would reinforce CBRE’s evolution from a largely cyclical property-services company into a more resilient infrastructure and outsourced-services platform. A mere consensus result and guidance reiteration would be respectable—but may not be enough to change investor sentiment materially.</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ir.cbre.com/press-releases/detail/265/cbre-group-inc-reports-financial-results-for-q1-2026?utm_source=openai" TargetMode="External" /><Relationship Type="http://schemas.openxmlformats.org/officeDocument/2006/relationships/hyperlink" Id="rId9" Target="https://ir.cbre.com/press-releases/detail/267/cbre-group-inc-announces-details-of-conference-call-and?utm_source=openai" TargetMode="External" /><Relationship Type="http://schemas.openxmlformats.org/officeDocument/2006/relationships/hyperlink" Id="rId15" Target="https://ir.cbre.com/press-releases?utm_source=openai" TargetMode="External" /><Relationship Type="http://schemas.openxmlformats.org/officeDocument/2006/relationships/hyperlink" Id="rId10" Target="https://www.tipranks.com/stocks/cbre/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2" Target="https://ir.cbre.com/press-releases/detail/265/cbre-group-inc-reports-financial-results-for-q1-2026?utm_source=openai" TargetMode="External" /><Relationship Type="http://schemas.openxmlformats.org/officeDocument/2006/relationships/hyperlink" Id="rId9" Target="https://ir.cbre.com/press-releases/detail/267/cbre-group-inc-announces-details-of-conference-call-and?utm_source=openai" TargetMode="External" /><Relationship Type="http://schemas.openxmlformats.org/officeDocument/2006/relationships/hyperlink" Id="rId15" Target="https://ir.cbre.com/press-releases?utm_source=openai" TargetMode="External" /><Relationship Type="http://schemas.openxmlformats.org/officeDocument/2006/relationships/hyperlink" Id="rId10" Target="https://www.tipranks.com/stocks/cbre/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2026-07-29T00:28:46Z</dcterms:created>
  <dcterms:modified xsi:type="dcterms:W3CDTF">2026-07-29T00:28:46Z</dcterms:modified>
</cp:coreProperties>
</file>

<file path=docProps/custom.xml><?xml version="1.0" encoding="utf-8"?>
<Properties xmlns="http://schemas.openxmlformats.org/officeDocument/2006/custom-properties" xmlns:vt="http://schemas.openxmlformats.org/officeDocument/2006/docPropsVTypes"/>
</file>