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5345d6f1bbe6356ab61a2b2294c52d46e624e9"/>
    <w:p>
      <w:pPr>
        <w:pStyle w:val="Heading1"/>
      </w:pPr>
      <w:r>
        <w:t xml:space="preserve">CBRE Group (NYSE: CBRE) — 2Q26 Earnings Preview</w:t>
      </w:r>
    </w:p>
    <w:p>
      <w:pPr>
        <w:pStyle w:val="BlockText"/>
      </w:pPr>
      <w:r>
        <w:rPr>
          <w:b/>
          <w:bCs/>
        </w:rPr>
        <w:t xml:space="preserve">Timing note:</w:t>
      </w:r>
      <w:r>
        <w:t xml:space="preserve"> </w:t>
      </w:r>
      <w:r>
        <w:t xml:space="preserve">The event date in the prompt is</w:t>
      </w:r>
      <w:r>
        <w:t xml:space="preserve"> </w:t>
      </w:r>
      <w:r>
        <w:rPr>
          <w:b/>
          <w:bCs/>
        </w:rPr>
        <w:t xml:space="preserve">Wednesday, July 29, 2026</w:t>
      </w:r>
      <w:r>
        <w:t xml:space="preserve">—which is</w:t>
      </w:r>
      <w:r>
        <w:t xml:space="preserve"> </w:t>
      </w:r>
      <w:r>
        <w:rPr>
          <w:b/>
          <w:bCs/>
        </w:rPr>
        <w:t xml:space="preserve">today</w:t>
      </w:r>
      <w:r>
        <w:t xml:space="preserve">, not tomorrow. This preview is therefore framed for investors assessing CBRE immediately ahead of its 2Q26 results and earnings call.</w:t>
      </w:r>
    </w:p>
    <w:bookmarkStart w:id="9" w:name="Xd80f736050dac02fb339088bf2db5a0c78016fb"/>
    <w:p>
      <w:pPr>
        <w:pStyle w:val="Heading2"/>
      </w:pPr>
      <w:r>
        <w:t xml:space="preserve">Investment view: the quarter is about validating the raised outlook</w:t>
      </w:r>
      <w:r>
        <w:t xml:space="preserve"> </w:t>
      </w:r>
      <w:r>
        <w:rPr>
          <w:i/>
          <w:iCs/>
        </w:rPr>
        <w:t xml:space="preserve">without</w:t>
      </w:r>
      <w:r>
        <w:t xml:space="preserve"> </w:t>
      </w:r>
      <w:r>
        <w:t xml:space="preserve">another development pull-forward</w:t>
      </w:r>
    </w:p>
    <w:p>
      <w:pPr>
        <w:pStyle w:val="FirstParagraph"/>
      </w:pPr>
      <w:r>
        <w:t xml:space="preserve">CBRE enters 2Q26 with unusually strong operating momentum. In 1Q26, the company delivered</w:t>
      </w:r>
      <w:r>
        <w:t xml:space="preserve"> </w:t>
      </w:r>
      <w:r>
        <w:rPr>
          <w:b/>
          <w:bCs/>
        </w:rPr>
        <w:t xml:space="preserve">core EPS of</w:t>
      </w:r>
      <w:r>
        <w:rPr>
          <w:b/>
          <w:bCs/>
        </w:rPr>
        <w:t xml:space="preserve"> </w:t>
      </w:r>
      <m:oMath>
        <m:r>
          <m:t>1.61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u</m:t>
        </m:r>
        <m:r>
          <m:t>p</m:t>
        </m:r>
        <m:r>
          <m:t>81</m:t>
        </m:r>
      </m:oMath>
      <w:r>
        <w:rPr>
          <w:b/>
          <w:bCs/>
        </w:rPr>
        <w:t xml:space="preserve">7.60–$7.80</w:t>
      </w:r>
      <w:r>
        <w:t xml:space="preserve"> </w:t>
      </w:r>
      <w:r>
        <w:t xml:space="preserve">from</w:t>
      </w:r>
      <w:r>
        <w:t xml:space="preserve"> </w:t>
      </w:r>
      <m:oMath>
        <m:r>
          <m:t>7.30</m:t>
        </m:r>
        <m:r>
          <m:rPr>
            <m:sty m:val="p"/>
          </m:rPr>
          <m:t>–</m:t>
        </m:r>
      </m:oMath>
      <w:r>
        <w:t xml:space="preserve">7.60. The central question for this report is not simply whether CBRE beats a quarterly number: it is whether the company can demonstrate that the higher full-year earnings power is being supported by its underlying services businesses—particularly Advisory, Building Operations &amp; Experience (BOE), and critical-infrastructure work—rather than by timing-driven gains in development.</w:t>
      </w:r>
    </w:p>
    <w:p>
      <w:pPr>
        <w:pStyle w:val="BodyText"/>
      </w:pPr>
      <w:r>
        <w:t xml:space="preserve">That distinction matters because 1Q included</w:t>
      </w:r>
      <w:r>
        <w:t xml:space="preserve"> </w:t>
      </w:r>
      <w:r>
        <w:rPr>
          <w:b/>
          <w:bCs/>
        </w:rPr>
        <w:t xml:space="preserve">$145 million of operating profit in real estate development</w:t>
      </w:r>
      <w:r>
        <w:t xml:space="preserve">, driven by data-center land profits recognized earlier than management had anticipated. Management explicitly said the timing shift did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change its Real Estate Investments outlook. A strong 2Q print from the recurring and transactional-services franchises would therefore carry more weight than another favorable development gain.</w:t>
      </w:r>
    </w:p>
    <w:bookmarkEnd w:id="9"/>
    <w:bookmarkStart w:id="10" w:name="the-earnings-framework"/>
    <w:p>
      <w:pPr>
        <w:pStyle w:val="Heading2"/>
      </w:pPr>
      <w:r>
        <w:t xml:space="preserve">The earnings framework</w:t>
      </w:r>
    </w:p>
    <w:p>
      <w:pPr>
        <w:pStyle w:val="FirstParagraph"/>
      </w:pPr>
      <w:r>
        <w:t xml:space="preserve">CBRE’s 1Q commentary implied that it expected to generate</w:t>
      </w:r>
      <w:r>
        <w:t xml:space="preserve"> </w:t>
      </w:r>
      <w:r>
        <w:rPr>
          <w:b/>
          <w:bCs/>
        </w:rPr>
        <w:t xml:space="preserve">nearly 40% of 2026 core EPS in the first half</w:t>
      </w:r>
      <w:r>
        <w:t xml:space="preserve">, an unusually front-loaded cadence. At the</w:t>
      </w:r>
      <w:r>
        <w:t xml:space="preserve"> </w:t>
      </w:r>
      <m:oMath>
        <m:r>
          <m:t>7.70</m:t>
        </m:r>
        <m:r>
          <m:t>g</m:t>
        </m:r>
        <m:r>
          <m:t>u</m:t>
        </m:r>
        <m:r>
          <m:t>i</m:t>
        </m:r>
        <m:r>
          <m:t>d</m:t>
        </m:r>
        <m:r>
          <m:t>a</m:t>
        </m:r>
        <m:r>
          <m:t>n</m:t>
        </m:r>
        <m:r>
          <m:t>c</m:t>
        </m:r>
        <m:r>
          <m:t>e</m:t>
        </m:r>
        <m:r>
          <m:t>m</m:t>
        </m:r>
        <m:r>
          <m:t>i</m:t>
        </m:r>
        <m:r>
          <m:t>d</m:t>
        </m:r>
        <m:r>
          <m:t>p</m:t>
        </m:r>
        <m:r>
          <m:t>o</m:t>
        </m:r>
        <m:r>
          <m:t>i</m:t>
        </m:r>
        <m:r>
          <m:t>n</m:t>
        </m:r>
        <m:r>
          <m:t>t</m:t>
        </m:r>
        <m:r>
          <m:rPr>
            <m:sty m:val="p"/>
          </m:rPr>
          <m:t>,</m:t>
        </m:r>
        <m:r>
          <m:t>t</m:t>
        </m:r>
        <m:r>
          <m:t>h</m:t>
        </m:r>
        <m:r>
          <m:t>a</m:t>
        </m:r>
        <m:r>
          <m:t>t</m:t>
        </m:r>
        <m:r>
          <m:t>i</m:t>
        </m:r>
        <m:r>
          <m:t>m</m:t>
        </m:r>
        <m:r>
          <m:t>p</m:t>
        </m:r>
        <m:r>
          <m:t>l</m:t>
        </m:r>
        <m:r>
          <m:t>i</m:t>
        </m:r>
        <m:r>
          <m:t>e</m:t>
        </m:r>
        <m:r>
          <m:t>s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3.1 of first-half core EPS**. After</w:t>
      </w:r>
      <w:r>
        <w:t xml:space="preserve"> </w:t>
      </w:r>
      <m:oMath>
        <m:r>
          <m:t>1.61</m:t>
        </m:r>
        <m:r>
          <m:t>i</m:t>
        </m:r>
        <m:r>
          <m:t>n</m:t>
        </m:r>
        <m:r>
          <m:t>1</m:t>
        </m:r>
        <m:r>
          <m:t>Q</m:t>
        </m:r>
        <m:r>
          <m:rPr>
            <m:sty m:val="p"/>
          </m:rPr>
          <m:t>,</m:t>
        </m:r>
        <m:r>
          <m:t>t</m:t>
        </m:r>
        <m:r>
          <m:t>h</m:t>
        </m:r>
        <m:r>
          <m:t>e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m</m:t>
        </m:r>
        <m:r>
          <m:t>a</m:t>
        </m:r>
        <m:r>
          <m:t>t</m:t>
        </m:r>
        <m:r>
          <m:t>h</m:t>
        </m:r>
        <m:r>
          <m:t>e</m:t>
        </m:r>
        <m:r>
          <m:t>m</m:t>
        </m:r>
        <m:r>
          <m:t>a</m:t>
        </m:r>
        <m:r>
          <m:t>t</m:t>
        </m:r>
        <m:r>
          <m:t>i</m:t>
        </m:r>
        <m:r>
          <m:t>c</m:t>
        </m:r>
        <m:r>
          <m:t>a</m:t>
        </m:r>
        <m:r>
          <m:t>l</m:t>
        </m:r>
        <m:r>
          <m:t>f</m:t>
        </m:r>
        <m:r>
          <m:t>r</m:t>
        </m:r>
        <m:r>
          <m:t>a</m:t>
        </m:r>
        <m:r>
          <m:t>m</m:t>
        </m:r>
        <m:r>
          <m:t>e</m:t>
        </m:r>
        <m:r>
          <m:t>w</m:t>
        </m:r>
        <m:r>
          <m:t>o</m:t>
        </m:r>
        <m:r>
          <m:t>r</m:t>
        </m:r>
        <m:r>
          <m:t>k</m:t>
        </m:r>
        <m:r>
          <m:t>p</m:t>
        </m:r>
        <m:r>
          <m:t>o</m:t>
        </m:r>
        <m:r>
          <m:t>i</m:t>
        </m:r>
        <m:r>
          <m:t>n</m:t>
        </m:r>
        <m:r>
          <m:t>t</m:t>
        </m:r>
        <m:r>
          <m:t>s</m:t>
        </m:r>
        <m:r>
          <m:t>t</m:t>
        </m:r>
        <m:r>
          <m:t>o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1.4–$1.5 of 2Q core EPS**—not formal company guidance, but a useful benchmark for assessing the trajectory.</w:t>
      </w:r>
    </w:p>
    <w:p>
      <w:pPr>
        <w:pStyle w:val="BodyText"/>
      </w:pPr>
      <w:r>
        <w:t xml:space="preserve">For context, in 2Q25 CBRE produced: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2Q25 reported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$9.75B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Core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$1.19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Core EBITDA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$658M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Advisory segment operating profit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$380M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BOE segment operating profit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$261M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Project Management segment operating profit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$121M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Real Estate Investments segment operating profit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$25M</w:t>
            </w:r>
          </w:p>
        </w:tc>
      </w:tr>
    </w:tbl>
    <w:p>
      <w:pPr>
        <w:pStyle w:val="BodyText"/>
      </w:pPr>
      <w:r>
        <w:t xml:space="preserve">The year-ago comparison should be treated carefully because CBRE revised aspects of segment reporting in 2026. Still, the prior-year quarter establishes that the bar has moved materially higher after CBRE’s strong 1Q and increased full-year outlook.</w:t>
      </w:r>
    </w:p>
    <w:bookmarkEnd w:id="10"/>
    <w:bookmarkStart w:id="15" w:name="what-matters-most-in-2q"/>
    <w:p>
      <w:pPr>
        <w:pStyle w:val="Heading2"/>
      </w:pPr>
      <w:r>
        <w:t xml:space="preserve">What matters most in 2Q</w:t>
      </w:r>
    </w:p>
    <w:bookmarkStart w:id="11" w:name="X9ce149ca09ab83957e3a28f457071920966c3f0"/>
    <w:p>
      <w:pPr>
        <w:pStyle w:val="Heading3"/>
      </w:pPr>
      <w:r>
        <w:t xml:space="preserve">1. Advisory: can transaction momentum remain broad-based?</w:t>
      </w:r>
    </w:p>
    <w:p>
      <w:pPr>
        <w:pStyle w:val="FirstParagraph"/>
      </w:pPr>
      <w:r>
        <w:t xml:space="preserve">Advisory was the standout operating segment in 1Q:</w:t>
      </w:r>
    </w:p>
    <w:p>
      <w:pPr>
        <w:pStyle w:val="Compact"/>
        <w:numPr>
          <w:ilvl w:val="0"/>
          <w:numId w:val="1001"/>
        </w:numPr>
      </w:pPr>
      <w:r>
        <w:t xml:space="preserve">Revenue grew</w:t>
      </w:r>
      <w:r>
        <w:t xml:space="preserve"> </w:t>
      </w:r>
      <w:r>
        <w:rPr>
          <w:b/>
          <w:bCs/>
        </w:rPr>
        <w:t xml:space="preserve">22%</w:t>
      </w:r>
      <w:r>
        <w:t xml:space="preserve"> </w:t>
      </w:r>
      <w:r>
        <w:t xml:space="preserve">year over year.</w:t>
      </w:r>
    </w:p>
    <w:p>
      <w:pPr>
        <w:pStyle w:val="Compact"/>
        <w:numPr>
          <w:ilvl w:val="0"/>
          <w:numId w:val="1001"/>
        </w:numPr>
      </w:pPr>
      <w:r>
        <w:t xml:space="preserve">Segment operating profit increased</w:t>
      </w:r>
      <w:r>
        <w:t xml:space="preserve"> </w:t>
      </w:r>
      <w:r>
        <w:rPr>
          <w:b/>
          <w:bCs/>
        </w:rPr>
        <w:t xml:space="preserve">34%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Leasing revenue rose</w:t>
      </w:r>
      <w:r>
        <w:t xml:space="preserve"> </w:t>
      </w:r>
      <w:r>
        <w:rPr>
          <w:b/>
          <w:bCs/>
        </w:rPr>
        <w:t xml:space="preserve">20%</w:t>
      </w:r>
      <w:r>
        <w:t xml:space="preserve">, while property-sales revenue increased</w:t>
      </w:r>
      <w:r>
        <w:t xml:space="preserve"> </w:t>
      </w:r>
      <w:r>
        <w:rPr>
          <w:b/>
          <w:bCs/>
        </w:rPr>
        <w:t xml:space="preserve">43%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Mortgage-origination revenue climbed</w:t>
      </w:r>
      <w:r>
        <w:t xml:space="preserve"> </w:t>
      </w:r>
      <w:r>
        <w:rPr>
          <w:b/>
          <w:bCs/>
        </w:rPr>
        <w:t xml:space="preserve">53%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The loan-servicing portfolio surpassed</w:t>
      </w:r>
      <w:r>
        <w:t xml:space="preserve"> </w:t>
      </w:r>
      <w:r>
        <w:rPr>
          <w:b/>
          <w:bCs/>
        </w:rPr>
        <w:t xml:space="preserve">$460 billion</w:t>
      </w:r>
      <w:r>
        <w:t xml:space="preserve">.</w:t>
      </w:r>
    </w:p>
    <w:p>
      <w:pPr>
        <w:pStyle w:val="FirstParagraph"/>
      </w:pPr>
      <w:r>
        <w:t xml:space="preserve">Management raised its full-year Advisory operating-profit-growth outlook to the</w:t>
      </w:r>
      <w:r>
        <w:t xml:space="preserve"> </w:t>
      </w:r>
      <w:r>
        <w:rPr>
          <w:b/>
          <w:bCs/>
        </w:rPr>
        <w:t xml:space="preserve">high teens</w:t>
      </w:r>
      <w:r>
        <w:t xml:space="preserve"> </w:t>
      </w:r>
      <w:r>
        <w:t xml:space="preserve">and said pipelines entering 2Q were especially strong in the U.S. The market will focus on whether leasing, investment sales, and debt origination remain healthy as higher-for-longer financing risks and macro uncertainty test client decision-making.</w:t>
      </w:r>
    </w:p>
    <w:p>
      <w:pPr>
        <w:pStyle w:val="BodyText"/>
      </w:pPr>
      <w:r>
        <w:t xml:space="preserve">The key read-throughs: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Leasing:</w:t>
      </w:r>
      <w:r>
        <w:t xml:space="preserve"> </w:t>
      </w:r>
      <w:r>
        <w:t xml:space="preserve">Confirmation that office, industrial, and data-center leasing remain resilient. In 1Q, U.S. industrial leasing grew 24%, U.S. office leasing rose 15%, and data-center leasing more than tripled.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Capital markets:</w:t>
      </w:r>
      <w:r>
        <w:t xml:space="preserve"> </w:t>
      </w:r>
      <w:r>
        <w:t xml:space="preserve">Property-sales growth must remain meaningfully positive, particularly in the U.S. The 1Q comparison will get tougher as the year progresses.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Debt:</w:t>
      </w:r>
      <w:r>
        <w:t xml:space="preserve"> </w:t>
      </w:r>
      <w:r>
        <w:t xml:space="preserve">Mortgage origination’s 1Q growth rate was exceptionally strong. Sustained strength would support the view that credit availability remains adequate despite elevated borrowing costs.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Margins:</w:t>
      </w:r>
      <w:r>
        <w:t xml:space="preserve"> </w:t>
      </w:r>
      <w:r>
        <w:t xml:space="preserve">Advisory is already near its 2019 margin level, according to management; revenue growth is still important, but the incremental margin opportunity is likely more limited than in BOE and Project Management.</w:t>
      </w:r>
    </w:p>
    <w:p>
      <w:pPr>
        <w:pStyle w:val="FirstParagraph"/>
      </w:pPr>
      <w:r>
        <w:rPr>
          <w:b/>
          <w:bCs/>
        </w:rPr>
        <w:t xml:space="preserve">Investor takeaway:</w:t>
      </w:r>
      <w:r>
        <w:t xml:space="preserve"> </w:t>
      </w:r>
      <w:r>
        <w:t xml:space="preserve">Advisory needs to show that transaction-market recovery is continuing, not merely that it had a strong start to the year.</w:t>
      </w:r>
    </w:p>
    <w:bookmarkEnd w:id="11"/>
    <w:bookmarkStart w:id="12" w:name="X2bb2862479e1e05d97bfa3053ad9fb4f3c55a04"/>
    <w:p>
      <w:pPr>
        <w:pStyle w:val="Heading3"/>
      </w:pPr>
      <w:r>
        <w:t xml:space="preserve">2. BOE and critical infrastructure: the most important structural-growth proof point</w:t>
      </w:r>
    </w:p>
    <w:p>
      <w:pPr>
        <w:pStyle w:val="FirstParagraph"/>
      </w:pPr>
      <w:r>
        <w:t xml:space="preserve">BOE is the core strategic issue for the stock. In 1Q, BOE revenue rose</w:t>
      </w:r>
      <w:r>
        <w:t xml:space="preserve"> </w:t>
      </w:r>
      <w:r>
        <w:rPr>
          <w:b/>
          <w:bCs/>
        </w:rPr>
        <w:t xml:space="preserve">20%</w:t>
      </w:r>
      <w:r>
        <w:t xml:space="preserve"> </w:t>
      </w:r>
      <w:r>
        <w:t xml:space="preserve">and segment operating profit increased</w:t>
      </w:r>
      <w:r>
        <w:t xml:space="preserve"> </w:t>
      </w:r>
      <w:r>
        <w:rPr>
          <w:b/>
          <w:bCs/>
        </w:rPr>
        <w:t xml:space="preserve">28%</w:t>
      </w:r>
      <w:r>
        <w:t xml:space="preserve">. Critical-infrastructure-services revenue increased</w:t>
      </w:r>
      <w:r>
        <w:t xml:space="preserve"> </w:t>
      </w:r>
      <w:r>
        <w:rPr>
          <w:b/>
          <w:bCs/>
        </w:rPr>
        <w:t xml:space="preserve">71%</w:t>
      </w:r>
      <w:r>
        <w:t xml:space="preserve">, with contributions from Data Center Solutions and Pearce Services.</w:t>
      </w:r>
    </w:p>
    <w:p>
      <w:pPr>
        <w:pStyle w:val="BodyText"/>
      </w:pPr>
      <w:r>
        <w:t xml:space="preserve">Management has described critical infrastructure as a dedicated business line encompassing data centers, telecom, and power-related services. It generated</w:t>
      </w:r>
      <w:r>
        <w:t xml:space="preserve"> </w:t>
      </w:r>
      <m:oMath>
        <m:r>
          <m:t>580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1</m:t>
        </m:r>
        <m:r>
          <m:t>Q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t>i</m:t>
        </m:r>
        <m:r>
          <m:t>s</m:t>
        </m:r>
        <m:r>
          <m:t>e</m:t>
        </m:r>
        <m:r>
          <m:t>x</m:t>
        </m:r>
        <m:r>
          <m:t>p</m:t>
        </m:r>
        <m:r>
          <m:t>e</m:t>
        </m:r>
        <m:r>
          <m:t>c</m:t>
        </m:r>
        <m:r>
          <m:t>t</m:t>
        </m:r>
        <m:r>
          <m:t>e</m:t>
        </m:r>
        <m:r>
          <m:t>d</m:t>
        </m:r>
        <m:r>
          <m:t>t</m:t>
        </m:r>
        <m:r>
          <m:t>o</m:t>
        </m:r>
        <m:r>
          <m:t>g</m:t>
        </m:r>
        <m:r>
          <m:t>r</m:t>
        </m:r>
        <m:r>
          <m:t>o</m:t>
        </m:r>
        <m:r>
          <m:t>w</m:t>
        </m:r>
        <m:r>
          <m:t>b</m:t>
        </m:r>
        <m:r>
          <m:t>y</m:t>
        </m:r>
        <m:r>
          <m:t>m</m:t>
        </m:r>
        <m:r>
          <m:t>o</m:t>
        </m:r>
        <m:r>
          <m:t>r</m:t>
        </m:r>
        <m:r>
          <m:t>e</m:t>
        </m:r>
        <m:r>
          <m:t>t</m:t>
        </m:r>
        <m:r>
          <m:t>h</m:t>
        </m:r>
        <m:r>
          <m:t>a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60</m:t>
        </m:r>
      </m:oMath>
      <w:r>
        <w:rPr>
          <w:b/>
          <w:bCs/>
        </w:rPr>
        <w:t xml:space="preserve">950 million in 1Q</w:t>
      </w:r>
      <w:r>
        <w:t xml:space="preserve">, following more than $3 billion in 2025.</w:t>
      </w:r>
    </w:p>
    <w:p>
      <w:pPr>
        <w:pStyle w:val="BodyText"/>
      </w:pPr>
      <w:r>
        <w:t xml:space="preserve">Investors should parse 2Q BOE results for four items: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Organic versus acquisition-driven growth.</w:t>
      </w:r>
      <w:r>
        <w:t xml:space="preserve"> </w:t>
      </w:r>
      <w:r>
        <w:t xml:space="preserve">Pearce is performing in line with expectations but has meaningful weather-driven seasonality. Management said that excluding Pearce, BOE grew at a mid-teens rate in 1Q.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Critical-infrastructure growth rate.</w:t>
      </w:r>
      <w:r>
        <w:t xml:space="preserve"> </w:t>
      </w:r>
      <w:r>
        <w:t xml:space="preserve">This is the clearest measure of whether CBRE is converting AI/data-center capital spending into durable services revenue.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Facilities-management growth.</w:t>
      </w:r>
      <w:r>
        <w:t xml:space="preserve"> </w:t>
      </w:r>
      <w:r>
        <w:t xml:space="preserve">Enterprise FM is a recurring, resilient revenue stream, with technology, industrial, and life-sciences clients providing important demand.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Underlying margin performance.</w:t>
      </w:r>
      <w:r>
        <w:t xml:space="preserve"> </w:t>
      </w:r>
      <w:r>
        <w:t xml:space="preserve">Full-year BOE operating-profit growth is expected to be about</w:t>
      </w:r>
      <w:r>
        <w:t xml:space="preserve"> </w:t>
      </w:r>
      <w:r>
        <w:rPr>
          <w:b/>
          <w:bCs/>
        </w:rPr>
        <w:t xml:space="preserve">25%</w:t>
      </w:r>
      <w:r>
        <w:t xml:space="preserve">, but part of that reflects an accounting reclassification that increases segment profit while raising depreciation and amortization by an offsetting amount. Management has characterized underlying BOE profit growth as</w:t>
      </w:r>
      <w:r>
        <w:t xml:space="preserve"> </w:t>
      </w:r>
      <w:r>
        <w:rPr>
          <w:b/>
          <w:bCs/>
        </w:rPr>
        <w:t xml:space="preserve">high teens</w:t>
      </w:r>
      <w:r>
        <w:t xml:space="preserve">. Investors should adjust their interpretation accordingly.</w:t>
      </w:r>
    </w:p>
    <w:p>
      <w:pPr>
        <w:pStyle w:val="FirstParagraph"/>
      </w:pPr>
      <w:r>
        <w:rPr>
          <w:b/>
          <w:bCs/>
        </w:rPr>
        <w:t xml:space="preserve">Investor takeaway:</w:t>
      </w:r>
      <w:r>
        <w:t xml:space="preserve"> </w:t>
      </w:r>
      <w:r>
        <w:t xml:space="preserve">A beat led by BOE growth, backed by local FM and critical infrastructure, would be higher quality than one led by development timing or favorable FX.</w:t>
      </w:r>
    </w:p>
    <w:bookmarkEnd w:id="12"/>
    <w:bookmarkStart w:id="13" w:name="Xda416bf1f935bcbff8acae1e189c0dd398a17e2"/>
    <w:p>
      <w:pPr>
        <w:pStyle w:val="Heading3"/>
      </w:pPr>
      <w:r>
        <w:t xml:space="preserve">3. Project Management: steady infrastructure and technology demand should remain a tailwind</w:t>
      </w:r>
    </w:p>
    <w:p>
      <w:pPr>
        <w:pStyle w:val="FirstParagraph"/>
      </w:pPr>
      <w:r>
        <w:t xml:space="preserve">Project Management delivered 1Q revenue growth of</w:t>
      </w:r>
      <w:r>
        <w:t xml:space="preserve"> </w:t>
      </w:r>
      <w:r>
        <w:rPr>
          <w:b/>
          <w:bCs/>
        </w:rPr>
        <w:t xml:space="preserve">15%</w:t>
      </w:r>
      <w:r>
        <w:t xml:space="preserve"> </w:t>
      </w:r>
      <w:r>
        <w:t xml:space="preserve">and segment operating-profit growth of</w:t>
      </w:r>
      <w:r>
        <w:t xml:space="preserve"> </w:t>
      </w:r>
      <w:r>
        <w:rPr>
          <w:b/>
          <w:bCs/>
        </w:rPr>
        <w:t xml:space="preserve">21%</w:t>
      </w:r>
      <w:r>
        <w:t xml:space="preserve">. Management attributed the performance to infrastructure activity and broad technology-sector demand across the U.S., U.K., and Asia.</w:t>
      </w:r>
    </w:p>
    <w:p>
      <w:pPr>
        <w:pStyle w:val="BodyText"/>
      </w:pPr>
      <w:r>
        <w:t xml:space="preserve">The segment is less cyclical than capital markets but remains exposed to corporate willingness to fund construction, fit-out, and infrastructure projects. Current concerns about capital costs could affect decision-making outside the data-center ecosystem.</w:t>
      </w:r>
    </w:p>
    <w:p>
      <w:pPr>
        <w:pStyle w:val="BodyText"/>
      </w:pPr>
      <w:r>
        <w:t xml:space="preserve">The key issue is whether Project Management can sustain double-digit revenue growth and modest operating leverage despite pressure on broader corporate capital expenditure. Management did not raise its full-year outlook for this segment in 1Q, so a meaningful upside surprise would strengthen confidence in the back half.</w:t>
      </w:r>
    </w:p>
    <w:bookmarkEnd w:id="13"/>
    <w:bookmarkStart w:id="14" w:name="Xfbdde0489939bfc1289e8a2aa0ef6fbac28fabf"/>
    <w:p>
      <w:pPr>
        <w:pStyle w:val="Heading3"/>
      </w:pPr>
      <w:r>
        <w:t xml:space="preserve">4. REI and Trammell Crow: investors should separate embedded value from quarterly noise</w:t>
      </w:r>
    </w:p>
    <w:p>
      <w:pPr>
        <w:pStyle w:val="FirstParagraph"/>
      </w:pPr>
      <w:r>
        <w:t xml:space="preserve">Real Estate Investments produced</w:t>
      </w:r>
      <w:r>
        <w:t xml:space="preserve"> </w:t>
      </w:r>
      <w:r>
        <w:rPr>
          <w:b/>
          <w:bCs/>
        </w:rPr>
        <w:t xml:space="preserve">$180 million</w:t>
      </w:r>
      <w:r>
        <w:t xml:space="preserve"> </w:t>
      </w:r>
      <w:r>
        <w:t xml:space="preserve">of 1Q segment operating profit, compared with $25 million a year earlier, largely due to the early recognition of data-center land-development profits. That result should not be extrapolated.</w:t>
      </w:r>
    </w:p>
    <w:p>
      <w:pPr>
        <w:pStyle w:val="BodyText"/>
      </w:pPr>
      <w:r>
        <w:t xml:space="preserve">Important facts heading into 2Q:</w:t>
      </w:r>
    </w:p>
    <w:p>
      <w:pPr>
        <w:pStyle w:val="Compact"/>
        <w:numPr>
          <w:ilvl w:val="0"/>
          <w:numId w:val="1004"/>
        </w:numPr>
      </w:pPr>
      <w:r>
        <w:t xml:space="preserve">Trammell Crow’s in-process projects and pipeline totaled</w:t>
      </w:r>
      <w:r>
        <w:t xml:space="preserve"> </w:t>
      </w:r>
      <w:r>
        <w:rPr>
          <w:b/>
          <w:bCs/>
        </w:rPr>
        <w:t xml:space="preserve">$29.6 billion</w:t>
      </w:r>
      <w:r>
        <w:t xml:space="preserve"> </w:t>
      </w:r>
      <w:r>
        <w:t xml:space="preserve">at the end of 1Q.</w:t>
      </w:r>
    </w:p>
    <w:p>
      <w:pPr>
        <w:pStyle w:val="Compact"/>
        <w:numPr>
          <w:ilvl w:val="0"/>
          <w:numId w:val="1004"/>
        </w:numPr>
      </w:pPr>
      <w:r>
        <w:t xml:space="preserve">Management cited approximately</w:t>
      </w:r>
      <w:r>
        <w:t xml:space="preserve"> </w:t>
      </w:r>
      <w:r>
        <w:rPr>
          <w:b/>
          <w:bCs/>
        </w:rPr>
        <w:t xml:space="preserve">$900 million of embedded profit</w:t>
      </w:r>
      <w:r>
        <w:t xml:space="preserve"> </w:t>
      </w:r>
      <w:r>
        <w:t xml:space="preserve">across Trammell Crow’s portfolio.</w:t>
      </w:r>
    </w:p>
    <w:p>
      <w:pPr>
        <w:pStyle w:val="Compact"/>
        <w:numPr>
          <w:ilvl w:val="0"/>
          <w:numId w:val="1004"/>
        </w:numPr>
      </w:pPr>
      <w:r>
        <w:t xml:space="preserve">Data-center land opportunities are attractive but inherently lumpy: entitlement, power, water, and local-approval requirements constrain timing.</w:t>
      </w:r>
    </w:p>
    <w:p>
      <w:pPr>
        <w:pStyle w:val="Compact"/>
        <w:numPr>
          <w:ilvl w:val="0"/>
          <w:numId w:val="1004"/>
        </w:numPr>
      </w:pPr>
      <w:r>
        <w:t xml:space="preserve">Investment-management AUM was above</w:t>
      </w:r>
      <w:r>
        <w:t xml:space="preserve"> </w:t>
      </w:r>
      <w:r>
        <w:rPr>
          <w:b/>
          <w:bCs/>
        </w:rPr>
        <w:t xml:space="preserve">$155 billion</w:t>
      </w:r>
      <w:r>
        <w:t xml:space="preserve"> </w:t>
      </w:r>
      <w:r>
        <w:t xml:space="preserve">at 1Q end, while recurring management fees rose but incentive-fee and promote income were lower year over year.</w:t>
      </w:r>
    </w:p>
    <w:p>
      <w:pPr>
        <w:pStyle w:val="FirstParagraph"/>
      </w:pPr>
      <w:r>
        <w:t xml:space="preserve">A modest REI result would not be a negative surprise after 1Q’s pull-forward. The more important questions are whether CBRE is replenishing its development pipeline, whether investment-management fees and fundraising are improving, and whether embedded development profits remain intact.</w:t>
      </w:r>
    </w:p>
    <w:bookmarkEnd w:id="14"/>
    <w:bookmarkEnd w:id="15"/>
    <w:bookmarkStart w:id="16" w:name="guidance-is-the-stock-moving-item"/>
    <w:p>
      <w:pPr>
        <w:pStyle w:val="Heading2"/>
      </w:pPr>
      <w:r>
        <w:t xml:space="preserve">Guidance is the stock-moving item</w:t>
      </w:r>
    </w:p>
    <w:p>
      <w:pPr>
        <w:pStyle w:val="FirstParagraph"/>
      </w:pPr>
      <w:r>
        <w:t xml:space="preserve">CBRE’s full-year core EPS guide of</w:t>
      </w:r>
      <w:r>
        <w:t xml:space="preserve"> </w:t>
      </w:r>
      <m:oMath>
        <m:r>
          <m:t>7.60</m:t>
        </m:r>
        <m:r>
          <m:rPr>
            <m:sty m:val="p"/>
          </m:rPr>
          <m:t>–</m:t>
        </m:r>
      </m:oMath>
      <w:r>
        <w:rPr>
          <w:b/>
          <w:bCs/>
        </w:rPr>
        <w:t xml:space="preserve">7.80</w:t>
      </w:r>
      <w:r>
        <w:t xml:space="preserve"> </w:t>
      </w:r>
      <w:r>
        <w:t xml:space="preserve">remains the primary valuation anchor.</w:t>
      </w:r>
    </w:p>
    <w:p>
      <w:pPr>
        <w:pStyle w:val="BodyText"/>
      </w:pPr>
      <w:r>
        <w:t xml:space="preserve">Management explained in April that the increase in the midpoint—from $7.45 to $7.70—was driven roughly one-third by first-quarter outperformance in Advisory and BOE and two-thirds by higher expectations for the remainder of the year. That is constructive: it suggests the revised guide was not simply a 1Q true-up.</w:t>
      </w:r>
    </w:p>
    <w:p>
      <w:pPr>
        <w:pStyle w:val="BodyText"/>
      </w:pPr>
      <w:r>
        <w:t xml:space="preserve">However, the company also anticipated that Advisory growth would decelerate in the second half because comparisons become more difficult. As a result, the most constructive 2Q outcome would include:</w:t>
      </w:r>
    </w:p>
    <w:p>
      <w:pPr>
        <w:pStyle w:val="Compact"/>
        <w:numPr>
          <w:ilvl w:val="0"/>
          <w:numId w:val="1005"/>
        </w:numPr>
      </w:pPr>
      <w:r>
        <w:t xml:space="preserve">Maintenance or an increase in the full-year EPS range;</w:t>
      </w:r>
    </w:p>
    <w:p>
      <w:pPr>
        <w:pStyle w:val="Compact"/>
        <w:numPr>
          <w:ilvl w:val="0"/>
          <w:numId w:val="1005"/>
        </w:numPr>
      </w:pPr>
      <w:r>
        <w:t xml:space="preserve">Evidence that Advisory pipelines remain firm despite financing-market volatility;</w:t>
      </w:r>
    </w:p>
    <w:p>
      <w:pPr>
        <w:pStyle w:val="Compact"/>
        <w:numPr>
          <w:ilvl w:val="0"/>
          <w:numId w:val="1005"/>
        </w:numPr>
      </w:pPr>
      <w:r>
        <w:t xml:space="preserve">Continued BOE/critical-infrastructure outperformance;</w:t>
      </w:r>
    </w:p>
    <w:p>
      <w:pPr>
        <w:pStyle w:val="Compact"/>
        <w:numPr>
          <w:ilvl w:val="0"/>
          <w:numId w:val="1005"/>
        </w:numPr>
      </w:pPr>
      <w:r>
        <w:t xml:space="preserve">Confidence that 2H growth can offset tougher transaction-business comparisons;</w:t>
      </w:r>
    </w:p>
    <w:p>
      <w:pPr>
        <w:pStyle w:val="Compact"/>
        <w:numPr>
          <w:ilvl w:val="0"/>
          <w:numId w:val="1005"/>
        </w:numPr>
      </w:pPr>
      <w:r>
        <w:t xml:space="preserve">A disciplined explanation of development-profit timing.</w:t>
      </w:r>
    </w:p>
    <w:p>
      <w:pPr>
        <w:pStyle w:val="FirstParagraph"/>
      </w:pPr>
      <w:r>
        <w:t xml:space="preserve">A guide raise is possible if 2Q results and pipelines are strong, but investors should not require one for a positive reaction. Maintaining the current guide while demonstrating that operating momentum remains intact may be sufficient.</w:t>
      </w:r>
    </w:p>
    <w:bookmarkEnd w:id="16"/>
    <w:bookmarkStart w:id="17" w:name="X9d95b6687a15a4c232282fb842d54b308f56fa5"/>
    <w:p>
      <w:pPr>
        <w:pStyle w:val="Heading2"/>
      </w:pPr>
      <w:r>
        <w:t xml:space="preserve">Macro: rates are the key external sensitivity</w:t>
      </w:r>
    </w:p>
    <w:p>
      <w:pPr>
        <w:pStyle w:val="FirstParagraph"/>
      </w:pPr>
      <w:r>
        <w:t xml:space="preserve">CBRE’s transactional businesses depend on functioning capital markets and client confidence. In the 1Q call, management said that sales and loan-origination activity had continued to grow while the 10-year Treasury yield remained in roughly the</w:t>
      </w:r>
      <w:r>
        <w:t xml:space="preserve"> </w:t>
      </w:r>
      <w:r>
        <w:rPr>
          <w:b/>
          <w:bCs/>
        </w:rPr>
        <w:t xml:space="preserve">4.0%–4.5%</w:t>
      </w:r>
      <w:r>
        <w:t xml:space="preserve"> </w:t>
      </w:r>
      <w:r>
        <w:t xml:space="preserve">range, but cautioned that a significant move above that level could slow activity.</w:t>
      </w:r>
    </w:p>
    <w:p>
      <w:pPr>
        <w:pStyle w:val="BodyText"/>
      </w:pPr>
      <w:r>
        <w:t xml:space="preserve">The macro backdrop going into results is less benign than it was in April:</w:t>
      </w:r>
    </w:p>
    <w:p>
      <w:pPr>
        <w:pStyle w:val="Compact"/>
        <w:numPr>
          <w:ilvl w:val="0"/>
          <w:numId w:val="1006"/>
        </w:numPr>
      </w:pPr>
      <w:r>
        <w:t xml:space="preserve">A July 15 market update placed the 10-year Treasury yield at</w:t>
      </w:r>
      <w:r>
        <w:t xml:space="preserve"> </w:t>
      </w:r>
      <w:r>
        <w:rPr>
          <w:b/>
          <w:bCs/>
        </w:rPr>
        <w:t xml:space="preserve">4.55%</w:t>
      </w:r>
      <w:r>
        <w:t xml:space="preserve">.</w:t>
      </w:r>
    </w:p>
    <w:p>
      <w:pPr>
        <w:pStyle w:val="Compact"/>
        <w:numPr>
          <w:ilvl w:val="0"/>
          <w:numId w:val="1006"/>
        </w:numPr>
      </w:pPr>
      <w:r>
        <w:t xml:space="preserve">Recent market commentary has centered on the possibility of additional Federal Reserve tightening later in 2026 amid persistent inflation and energy-price uncertainty.</w:t>
      </w:r>
    </w:p>
    <w:p>
      <w:pPr>
        <w:pStyle w:val="Compact"/>
        <w:numPr>
          <w:ilvl w:val="0"/>
          <w:numId w:val="1006"/>
        </w:numPr>
      </w:pPr>
      <w:r>
        <w:t xml:space="preserve">Higher real rates raise the hurdle for real-estate transaction volumes, development underwriting, and non-data-center project spending.</w:t>
      </w:r>
    </w:p>
    <w:p>
      <w:pPr>
        <w:pStyle w:val="FirstParagraph"/>
      </w:pPr>
      <w:r>
        <w:t xml:space="preserve">This is not necessarily a near-term operating problem for CBRE—its 1Q pipeline commentary was strong—but it raises the value of management’s updates on client behavior, financing spreads, debt-fund appetite, and any regional softness in EMEA or APAC.</w:t>
      </w:r>
    </w:p>
    <w:bookmarkEnd w:id="17"/>
    <w:bookmarkStart w:id="18" w:name="Xe4c27adef5690700dedb5373cbf0b15c245d0d1"/>
    <w:p>
      <w:pPr>
        <w:pStyle w:val="Heading2"/>
      </w:pPr>
      <w:r>
        <w:t xml:space="preserve">Capital allocation and balance-sheet flexibility remain strengths</w:t>
      </w:r>
    </w:p>
    <w:p>
      <w:pPr>
        <w:pStyle w:val="FirstParagraph"/>
      </w:pPr>
      <w:r>
        <w:t xml:space="preserve">CBRE entered 2026 from a position of financial flexibility:</w:t>
      </w:r>
    </w:p>
    <w:p>
      <w:pPr>
        <w:pStyle w:val="Compact"/>
        <w:numPr>
          <w:ilvl w:val="0"/>
          <w:numId w:val="1007"/>
        </w:numPr>
      </w:pPr>
      <w:r>
        <w:t xml:space="preserve">At March 31, net leverage was</w:t>
      </w:r>
      <w:r>
        <w:t xml:space="preserve"> </w:t>
      </w:r>
      <w:r>
        <w:rPr>
          <w:b/>
          <w:bCs/>
        </w:rPr>
        <w:t xml:space="preserve">1.54x</w:t>
      </w:r>
      <w:r>
        <w:t xml:space="preserve"> </w:t>
      </w:r>
      <w:r>
        <w:t xml:space="preserve">trailing-12-month core EBITDA, well below the company’s 4.25x primary covenant.</w:t>
      </w:r>
    </w:p>
    <w:p>
      <w:pPr>
        <w:pStyle w:val="Compact"/>
        <w:numPr>
          <w:ilvl w:val="0"/>
          <w:numId w:val="1007"/>
        </w:numPr>
      </w:pPr>
      <w:r>
        <w:t xml:space="preserve">Total liquidity was approximately</w:t>
      </w:r>
      <w:r>
        <w:t xml:space="preserve"> </w:t>
      </w:r>
      <w:r>
        <w:rPr>
          <w:b/>
          <w:bCs/>
        </w:rPr>
        <w:t xml:space="preserve">$4.4 billion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CBRE repurchased nearly **</w:t>
      </w:r>
      <m:oMath>
        <m:r>
          <m:t>540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f</m:t>
        </m:r>
        <m:r>
          <m:t>s</m:t>
        </m:r>
        <m:r>
          <m:t>t</m:t>
        </m:r>
        <m:r>
          <m:t>o</m:t>
        </m:r>
        <m:r>
          <m:t>c</m:t>
        </m:r>
        <m:r>
          <m:t>k</m:t>
        </m:r>
        <m:r>
          <m:t>y</m:t>
        </m:r>
        <m:r>
          <m:t>e</m:t>
        </m:r>
        <m:r>
          <m:t>a</m:t>
        </m:r>
        <m:r>
          <m:t>r</m:t>
        </m:r>
        <m:r>
          <m:t>t</m:t>
        </m:r>
        <m:r>
          <m:t>o</m:t>
        </m:r>
        <m:r>
          <m:t>d</m:t>
        </m:r>
        <m:r>
          <m:t>a</m:t>
        </m:r>
        <m:r>
          <m:t>t</m:t>
        </m:r>
        <m:r>
          <m:t>e</m:t>
        </m:r>
        <m:r>
          <m:t>t</m:t>
        </m:r>
        <m:r>
          <m:t>h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A</m:t>
        </m:r>
        <m:r>
          <m:t>p</m:t>
        </m:r>
        <m:r>
          <m:t>r</m:t>
        </m:r>
        <m:r>
          <m:t>i</m:t>
        </m:r>
        <m:r>
          <m:t>l</m:t>
        </m:r>
        <m:r>
          <m:t>21</m:t>
        </m:r>
        <m:r>
          <m:rPr>
            <m:sty m:val="p"/>
          </m:rPr>
          <m:t>,</m:t>
        </m:r>
        <m:r>
          <m:t>a</m:t>
        </m:r>
        <m:r>
          <m:t>t</m:t>
        </m:r>
        <m:r>
          <m:t>a</m:t>
        </m:r>
        <m:r>
          <m:t>n</m:t>
        </m:r>
        <m:r>
          <m:t>a</m:t>
        </m:r>
        <m:r>
          <m:t>v</m:t>
        </m:r>
        <m:r>
          <m:t>e</m:t>
        </m:r>
        <m:r>
          <m:t>r</m:t>
        </m:r>
        <m:r>
          <m:t>a</m:t>
        </m:r>
        <m:r>
          <m:t>g</m:t>
        </m:r>
        <m:r>
          <m:t>e</m:t>
        </m:r>
        <m:r>
          <m:t>p</m:t>
        </m:r>
        <m:r>
          <m:t>r</m:t>
        </m:r>
        <m:r>
          <m:t>i</m:t>
        </m:r>
        <m:r>
          <m:t>c</m:t>
        </m:r>
        <m:r>
          <m:t>e</m:t>
        </m:r>
        <m:r>
          <m:t>i</m:t>
        </m:r>
        <m:r>
          <m:t>n</m:t>
        </m:r>
        <m:r>
          <m:t>t</m:t>
        </m:r>
        <m:r>
          <m:t>h</m:t>
        </m:r>
        <m:r>
          <m:t>e</m:t>
        </m:r>
        <m:r>
          <m:t>h</m:t>
        </m:r>
        <m:r>
          <m:t>i</m:t>
        </m:r>
        <m:r>
          <m:t>g</m:t>
        </m:r>
        <m:r>
          <m:t>h</m:t>
        </m:r>
        <m:r>
          <m:rPr>
            <m:sty m:val="p"/>
          </m:rPr>
          <m:t>−</m:t>
        </m:r>
      </m:oMath>
      <w:r>
        <w:t xml:space="preserve">140s.</w:t>
      </w:r>
    </w:p>
    <w:p>
      <w:pPr>
        <w:pStyle w:val="Compact"/>
        <w:numPr>
          <w:ilvl w:val="0"/>
          <w:numId w:val="1007"/>
        </w:numPr>
      </w:pPr>
      <w:r>
        <w:t xml:space="preserve">In June, the company renewed a</w:t>
      </w:r>
      <w:r>
        <w:t xml:space="preserve"> </w:t>
      </w:r>
      <w:r>
        <w:rPr>
          <w:b/>
          <w:bCs/>
        </w:rPr>
        <w:t xml:space="preserve">$1 billion, 364-day unsecured revolving credit facility</w:t>
      </w:r>
      <w:r>
        <w:t xml:space="preserve"> </w:t>
      </w:r>
      <w:r>
        <w:t xml:space="preserve">that matures June 22, 2027.</w:t>
      </w:r>
    </w:p>
    <w:p>
      <w:pPr>
        <w:pStyle w:val="FirstParagraph"/>
      </w:pPr>
      <w:r>
        <w:t xml:space="preserve">The revolver renewal is not an earnings catalyst, but it reinforces CBRE’s ability to maintain a balanced capital-allocation approach: fund bolt-on M&amp;A in critical infrastructure, repurchase shares when management sees value, and preserve flexibility for cyclical volatility.</w:t>
      </w:r>
    </w:p>
    <w:bookmarkEnd w:id="18"/>
    <w:bookmarkStart w:id="19" w:name="key-risks-to-the-bullish-thesis"/>
    <w:p>
      <w:pPr>
        <w:pStyle w:val="Heading2"/>
      </w:pPr>
      <w:r>
        <w:t xml:space="preserve">Key risks to the bullish thesis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Rate shock or wider CRE credit spreads:</w:t>
      </w:r>
      <w:r>
        <w:t xml:space="preserve"> </w:t>
      </w:r>
      <w:r>
        <w:t xml:space="preserve">Could slow investment sales, mortgage originations, and development activity.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Data-center concentration and execution:</w:t>
      </w:r>
      <w:r>
        <w:t xml:space="preserve"> </w:t>
      </w:r>
      <w:r>
        <w:t xml:space="preserve">Critical infrastructure is a major growth driver, but staffing availability, customer concentration, project delays, power constraints, and valuation concerns can create volatility.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Development timing:</w:t>
      </w:r>
      <w:r>
        <w:t xml:space="preserve"> </w:t>
      </w:r>
      <w:r>
        <w:t xml:space="preserve">Data-center land monetizations can materially help quarterly results but are lumpy and dependent on external approvals.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Second-half transaction comparisons:</w:t>
      </w:r>
      <w:r>
        <w:t xml:space="preserve"> </w:t>
      </w:r>
      <w:r>
        <w:t xml:space="preserve">Advisory growth is expected to moderate as comparisons get tougher.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Accounting optics in BOE:</w:t>
      </w:r>
      <w:r>
        <w:t xml:space="preserve"> </w:t>
      </w:r>
      <w:r>
        <w:t xml:space="preserve">The operating-profit benefit from the cost reclassification should not be mistaken for an equivalent improvement in consolidated earnings.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FX and international demand:</w:t>
      </w:r>
      <w:r>
        <w:t xml:space="preserve"> </w:t>
      </w:r>
      <w:r>
        <w:t xml:space="preserve">CBRE has broad global exposure, leaving it sensitive to currency moves and a potential slowdown in EMEA or APAC.</w:t>
      </w:r>
    </w:p>
    <w:bookmarkEnd w:id="19"/>
    <w:bookmarkStart w:id="21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CBRE is no longer just a cyclical commercial-real-estate brokerage recovery story. The 2Q26 report should test whether the company’s evolving mix—recurring facilities management, project management, critical infrastructure, and data-center services—can sustain earnings growth even if conventional CRE capital markets become less accommodating.</w:t>
      </w:r>
    </w:p>
    <w:p>
      <w:pPr>
        <w:pStyle w:val="BodyText"/>
      </w:pPr>
      <w:r>
        <w:t xml:space="preserve">The highest-quality outcome would be</w:t>
      </w:r>
      <w:r>
        <w:t xml:space="preserve"> </w:t>
      </w:r>
      <w:r>
        <w:rPr>
          <w:b/>
          <w:bCs/>
        </w:rPr>
        <w:t xml:space="preserve">continued double-digit growth in BOE and Project Management, healthy Advisory transaction trends, and reaffirmed or increased full-year guidance</w:t>
      </w:r>
      <w:r>
        <w:t xml:space="preserve">, with little reliance on another early development gain. Conversely, weak Advisory pipelines, softer corporate project decisions, or a more cautious outlook tied to financing conditions would challenge the premise that the raised 2026 target is durable.</w:t>
      </w:r>
    </w:p>
    <w:bookmarkStart w:id="20" w:name="primary-items-to-monitor-on-the-call"/>
    <w:p>
      <w:pPr>
        <w:pStyle w:val="Heading3"/>
      </w:pPr>
      <w:r>
        <w:t xml:space="preserve">Primary items to monitor on the call</w:t>
      </w:r>
    </w:p>
    <w:p>
      <w:pPr>
        <w:pStyle w:val="Compact"/>
        <w:numPr>
          <w:ilvl w:val="0"/>
          <w:numId w:val="1009"/>
        </w:numPr>
      </w:pPr>
      <w:r>
        <w:t xml:space="preserve">Full-year core EPS guidance: maintained, raised, or de-risked?</w:t>
      </w:r>
    </w:p>
    <w:p>
      <w:pPr>
        <w:pStyle w:val="Compact"/>
        <w:numPr>
          <w:ilvl w:val="0"/>
          <w:numId w:val="1009"/>
        </w:numPr>
      </w:pPr>
      <w:r>
        <w:t xml:space="preserve">Advisory pipeline and outlook for property sales, leasing, and mortgage origination.</w:t>
      </w:r>
    </w:p>
    <w:p>
      <w:pPr>
        <w:pStyle w:val="Compact"/>
        <w:numPr>
          <w:ilvl w:val="0"/>
          <w:numId w:val="1009"/>
        </w:numPr>
      </w:pPr>
      <w:r>
        <w:t xml:space="preserve">BOE organic growth, especially critical infrastructure and local FM.</w:t>
      </w:r>
    </w:p>
    <w:p>
      <w:pPr>
        <w:pStyle w:val="Compact"/>
        <w:numPr>
          <w:ilvl w:val="0"/>
          <w:numId w:val="1009"/>
        </w:numPr>
      </w:pPr>
      <w:r>
        <w:t xml:space="preserve">The size, growth rate, and margin trajectory of data-center/critical-infrastructure services.</w:t>
      </w:r>
    </w:p>
    <w:p>
      <w:pPr>
        <w:pStyle w:val="Compact"/>
        <w:numPr>
          <w:ilvl w:val="0"/>
          <w:numId w:val="1009"/>
        </w:numPr>
      </w:pPr>
      <w:r>
        <w:t xml:space="preserve">Project-management demand outside data centers.</w:t>
      </w:r>
    </w:p>
    <w:p>
      <w:pPr>
        <w:pStyle w:val="Compact"/>
        <w:numPr>
          <w:ilvl w:val="0"/>
          <w:numId w:val="1009"/>
        </w:numPr>
      </w:pPr>
      <w:r>
        <w:t xml:space="preserve">Development-profit timing and the status of Trammell Crow’s embedded gains.</w:t>
      </w:r>
    </w:p>
    <w:p>
      <w:pPr>
        <w:pStyle w:val="Compact"/>
        <w:numPr>
          <w:ilvl w:val="0"/>
          <w:numId w:val="1009"/>
        </w:numPr>
      </w:pPr>
      <w:r>
        <w:t xml:space="preserve">Commentary on rates, lending spreads, and client decision-making.</w:t>
      </w:r>
    </w:p>
    <w:p>
      <w:pPr>
        <w:pStyle w:val="Compact"/>
        <w:numPr>
          <w:ilvl w:val="0"/>
          <w:numId w:val="1009"/>
        </w:numPr>
      </w:pPr>
      <w:r>
        <w:t xml:space="preserve">Capital deployment: M&amp;A pipeline versus buybacks.</w:t>
      </w:r>
    </w:p>
    <w:p>
      <w:pPr>
        <w:pStyle w:val="FirstParagraph"/>
      </w:pPr>
      <w:r>
        <w:rPr>
          <w:i/>
          <w:iCs/>
        </w:rPr>
        <w:t xml:space="preserve">Sources consulted: CBRE 1Q26 earnings release and call transcript (April 23, 2026); CBRE 2Q25 earnings release (July 29, 2025); CBRE June 23, 2026 revolving-credit-facility filing; recent macro and real-estate news digest through July 28, 2026.</w:t>
      </w:r>
    </w:p>
    <w:bookmarkEnd w:id="20"/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2026-07-29T00:27:30Z</dcterms:created>
  <dcterms:modified xsi:type="dcterms:W3CDTF">2026-07-29T00:27:30Z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