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CBRE Group, Inc. (CBRE) — Q2 2026 Earnings Preview</w:t>
      </w:r>
    </w:p>
    <w:p>
      <w:r>
        <w:rPr>
          <w:rFonts w:ascii="Calibri" w:hAnsi="Calibri"/>
          <w:b/>
          <w:color w:val="525866"/>
          <w:sz w:val="22"/>
        </w:rPr>
        <w:t xml:space="preserve">Ticker: </w:t>
      </w:r>
      <w:r>
        <w:rPr>
          <w:rFonts w:ascii="Calibri" w:hAnsi="Calibri"/>
          <w:color w:val="525866"/>
          <w:sz w:val="22"/>
        </w:rPr>
        <w:t xml:space="preserve">CBRE  </w:t>
      </w:r>
      <w:r>
        <w:rPr>
          <w:rFonts w:ascii="Calibri" w:hAnsi="Calibri"/>
          <w:b/>
          <w:color w:val="525866"/>
          <w:sz w:val="22"/>
        </w:rPr>
        <w:t xml:space="preserve">| Upcoming Earnings: </w:t>
      </w:r>
      <w:r>
        <w:rPr>
          <w:rFonts w:ascii="Calibri" w:hAnsi="Calibri"/>
          <w:color w:val="525866"/>
          <w:sz w:val="22"/>
        </w:rPr>
        <w:t xml:space="preserve">Q2 2026 (Expected late July / early August 2026)  </w:t>
      </w:r>
      <w:r>
        <w:rPr>
          <w:rFonts w:ascii="Calibri" w:hAnsi="Calibri"/>
          <w:b/>
          <w:color w:val="525866"/>
          <w:sz w:val="22"/>
        </w:rPr>
        <w:t xml:space="preserve">| Prepared: </w:t>
      </w:r>
      <w:r>
        <w:rPr>
          <w:rFonts w:ascii="Calibri" w:hAnsi="Calibri"/>
          <w:color w:val="525866"/>
          <w:sz w:val="22"/>
        </w:rPr>
        <w:t xml:space="preserve">July 28, 2026  </w:t>
      </w:r>
      <w:r>
        <w:rPr>
          <w:rFonts w:ascii="Calibri" w:hAnsi="Calibri"/>
          <w:b/>
          <w:color w:val="525866"/>
          <w:sz w:val="22"/>
        </w:rPr>
        <w:t xml:space="preserve">| Sector ETF Benchmark: </w:t>
      </w:r>
      <w:r>
        <w:rPr>
          <w:rFonts w:ascii="Calibri" w:hAnsi="Calibri"/>
          <w:color w:val="525866"/>
          <w:sz w:val="22"/>
        </w:rPr>
        <w:t>IYR (iShares U.S. Real Estate ETF)</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the bar is not low — consensus expects ~$1.48 Adj. EPS for Q2 2026 vs. $1.20 actual a year ago (+23% YoY), and the biggest swing factor is whether infrastructure/data center momentum sustains the pace set in Q1 or shows any deceleration.</w:t>
      </w:r>
    </w:p>
    <w:p>
      <w:r>
        <w:rPr>
          <w:rFonts w:ascii="Calibri" w:hAnsi="Calibri"/>
          <w:color w:val="525866"/>
          <w:sz w:val="22"/>
        </w:rPr>
        <w:t xml:space="preserve">CBRE heads into Q2 2026 earnings with strong fundamental momentum but a stock that has given back roughly 12% since the Q1 print, creating a more attractive entry point and a lower bar than the multiple implied at the April highs. </w:t>
      </w:r>
      <w:r>
        <w:rPr>
          <w:rFonts w:ascii="Calibri" w:hAnsi="Calibri"/>
          <w:color w:val="525866"/>
          <w:sz w:val="22"/>
        </w:rPr>
        <w:t xml:space="preserve">Management raised full-year core EPS guidance to $7.60–$7.80 (&gt;20% growth at midpoint) after Q1, with two-thirds of the raise reflecting increased expectations for the remainder of the year — not just Q1 pull-forwards — signaling genuine confidence in the pipeline. </w:t>
      </w:r>
      <w:r>
        <w:rPr>
          <w:rFonts w:ascii="Calibri" w:hAnsi="Calibri"/>
          <w:color w:val="525866"/>
          <w:sz w:val="22"/>
        </w:rPr>
        <w:t xml:space="preserve">Estimate revisions have been modestly positive since the Q1 print, with Q2 consensus Adj. EPS moving from ~$1.51 (as of April 28) to ~$1.48 currently, a slight drift lower that likely reflects macro caution rather than fundamental deterioration. </w:t>
      </w:r>
      <w:r>
        <w:rPr>
          <w:rFonts w:ascii="Calibri" w:hAnsi="Calibri"/>
          <w:color w:val="525866"/>
          <w:sz w:val="22"/>
        </w:rPr>
        <w:t xml:space="preserve">The stock's underperformance vs. the S&amp;P 500 since earnings (CBRE -1.5% vs. SPY +4.6% indexed) appears driven by multiple compression rather than estimate cuts, suggesting sentiment rather than fundamentals is the drag. </w:t>
      </w:r>
      <w:r>
        <w:rPr>
          <w:rFonts w:ascii="Calibri" w:hAnsi="Calibri"/>
          <w:color w:val="525866"/>
          <w:sz w:val="22"/>
        </w:rPr>
        <w:t xml:space="preserve">The key wildcard is the pace of </w:t>
      </w:r>
      <w:r>
        <w:rPr>
          <w:rFonts w:ascii="Calibri" w:hAnsi="Calibri"/>
          <w:b/>
          <w:color w:val="525866"/>
          <w:sz w:val="22"/>
        </w:rPr>
        <w:t>Critical Infrastructure Services revenue</w:t>
      </w:r>
      <w:r>
        <w:rPr>
          <w:rFonts w:ascii="Calibri" w:hAnsi="Calibri"/>
          <w:color w:val="525866"/>
          <w:sz w:val="22"/>
        </w:rPr>
        <w:t xml:space="preserve"> within BOE — management guided &gt;60% growth for the full year and Q1 delivered $580M; any sign of project timing slippage or hyperscaler capex caution could pressure the BOE segment and the stock disproportionately, while upside surprise there would likely re-rate the stock sharply.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meaningful but achievable bar — Q2 Adj. EPS of ~$1.48 implies ~23% YoY growth, broadly in line with management’s raised full-year trajectory. </w:t>
      </w:r>
      <w:r>
        <w:rPr>
          <w:rFonts w:ascii="Calibri" w:hAnsi="Calibri"/>
          <w:color w:val="525866"/>
          <w:sz w:val="22"/>
        </w:rPr>
        <w:t>Advisory Sales (property sales) is the bigger swing factor given its high operating leverage and the strong but volatile capital markets backdrop.</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 (Prior Year)</w:t>
            </w:r>
          </w:p>
        </w:tc>
        <w:tc>
          <w:tcPr>
            <w:tcW w:type="dxa" w:w="1234"/>
          </w:tcPr>
          <w:p>
            <w:r>
              <w:rPr>
                <w:rFonts w:ascii="Calibri" w:hAnsi="Calibri"/>
                <w:b/>
                <w:sz w:val="22"/>
              </w:rPr>
              <w:t>Q2 2026 Consensus Estimate</w:t>
            </w:r>
          </w:p>
        </w:tc>
        <w:tc>
          <w:tcPr>
            <w:tcW w:type="dxa" w:w="1234"/>
          </w:tcPr>
          <w:p>
            <w:r>
              <w:rPr>
                <w:rFonts w:ascii="Calibri" w:hAnsi="Calibri"/>
                <w:b/>
                <w:sz w:val="22"/>
              </w:rPr>
              <w:t>YoY Change (Est. vs. PY)</w:t>
            </w:r>
          </w:p>
        </w:tc>
        <w:tc>
          <w:tcPr>
            <w:tcW w:type="dxa" w:w="1234"/>
          </w:tcPr>
          <w:p>
            <w:r>
              <w:rPr>
                <w:rFonts w:ascii="Calibri" w:hAnsi="Calibri"/>
                <w:b/>
                <w:sz w:val="22"/>
              </w:rPr>
              <w:t>FY2026 Guidance (Mgmt)</w:t>
            </w:r>
          </w:p>
        </w:tc>
        <w:tc>
          <w:tcPr>
            <w:tcW w:type="dxa" w:w="1234"/>
          </w:tcPr>
          <w:p>
            <w:r>
              <w:rPr>
                <w:rFonts w:ascii="Calibri" w:hAnsi="Calibri"/>
                <w:b/>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$10.53B</w:t>
            </w:r>
          </w:p>
        </w:tc>
        <w:tc>
          <w:tcPr>
            <w:tcW w:type="dxa" w:w="1234"/>
          </w:tcPr>
          <w:p>
            <w:r>
              <w:rPr>
                <w:rFonts w:ascii="Calibri" w:hAnsi="Calibri"/>
                <w:sz w:val="22"/>
              </w:rPr>
              <w:t>$9.72B</w:t>
            </w:r>
          </w:p>
        </w:tc>
        <w:tc>
          <w:tcPr>
            <w:tcW w:type="dxa" w:w="1234"/>
          </w:tcPr>
          <w:p>
            <w:r>
              <w:rPr>
                <w:rFonts w:ascii="Calibri" w:hAnsi="Calibri"/>
                <w:sz w:val="22"/>
              </w:rPr>
              <w:t>$11.24B</w:t>
            </w:r>
          </w:p>
        </w:tc>
        <w:tc>
          <w:tcPr>
            <w:tcW w:type="dxa" w:w="1234"/>
          </w:tcPr>
          <w:p>
            <w:r>
              <w:rPr>
                <w:rFonts w:ascii="Calibri" w:hAnsi="Calibri"/>
                <w:sz w:val="22"/>
              </w:rPr>
              <w:t>+15.6%</w:t>
            </w:r>
          </w:p>
        </w:tc>
        <w:tc>
          <w:tcPr>
            <w:tcW w:type="dxa" w:w="1234"/>
          </w:tcPr>
          <w:p>
            <w:r>
              <w:rPr>
                <w:rFonts w:ascii="Calibri" w:hAnsi="Calibri"/>
                <w:sz w:val="22"/>
              </w:rPr>
              <w:t>$46.8B (FY cons.)</w:t>
            </w:r>
          </w:p>
        </w:tc>
        <w:tc>
          <w:tcPr>
            <w:tcW w:type="dxa" w:w="1234"/>
          </w:tcPr>
          <w:p>
            <w:r>
              <w:rPr>
                <w:rFonts w:ascii="Calibri" w:hAnsi="Calibri"/>
                <w:sz w:val="22"/>
              </w:rPr>
              <w:t>N/A — no quarterly rev. guidance</w:t>
            </w:r>
          </w:p>
        </w:tc>
      </w:tr>
      <w:tr>
        <w:tc>
          <w:tcPr>
            <w:tcW w:type="dxa" w:w="1234"/>
          </w:tcPr>
          <w:p>
            <w:r>
              <w:rPr>
                <w:rFonts w:ascii="Calibri" w:hAnsi="Calibri"/>
                <w:sz w:val="22"/>
              </w:rPr>
              <w:t>Fee Revenue</w:t>
            </w:r>
          </w:p>
        </w:tc>
        <w:tc>
          <w:tcPr>
            <w:tcW w:type="dxa" w:w="1234"/>
          </w:tcPr>
          <w:p>
            <w:r>
              <w:rPr>
                <w:rFonts w:ascii="Calibri" w:hAnsi="Calibri"/>
                <w:sz w:val="22"/>
              </w:rPr>
              <w:t>$6.08B</w:t>
            </w:r>
          </w:p>
        </w:tc>
        <w:tc>
          <w:tcPr>
            <w:tcW w:type="dxa" w:w="1234"/>
          </w:tcPr>
          <w:p>
            <w:r>
              <w:rPr>
                <w:rFonts w:ascii="Calibri" w:hAnsi="Calibri"/>
                <w:sz w:val="22"/>
              </w:rPr>
              <w:t>$5.63B</w:t>
            </w:r>
          </w:p>
        </w:tc>
        <w:tc>
          <w:tcPr>
            <w:tcW w:type="dxa" w:w="1234"/>
          </w:tcPr>
          <w:p>
            <w:r>
              <w:rPr>
                <w:rFonts w:ascii="Calibri" w:hAnsi="Calibri"/>
                <w:sz w:val="22"/>
              </w:rPr>
              <w:t>$6.57B</w:t>
            </w:r>
          </w:p>
        </w:tc>
        <w:tc>
          <w:tcPr>
            <w:tcW w:type="dxa" w:w="1234"/>
          </w:tcPr>
          <w:p>
            <w:r>
              <w:rPr>
                <w:rFonts w:ascii="Calibri" w:hAnsi="Calibri"/>
                <w:sz w:val="22"/>
              </w:rPr>
              <w:t>+16.7%</w:t>
            </w:r>
          </w:p>
        </w:tc>
        <w:tc>
          <w:tcPr>
            <w:tcW w:type="dxa" w:w="1234"/>
          </w:tcPr>
          <w:p>
            <w:r>
              <w:rPr>
                <w:rFonts w:ascii="Calibri" w:hAnsi="Calibri"/>
                <w:sz w:val="22"/>
              </w:rPr>
              <w:t>$27.6B (FY cons.)</w:t>
            </w:r>
          </w:p>
        </w:tc>
        <w:tc>
          <w:tcPr>
            <w:tcW w:type="dxa" w:w="1234"/>
          </w:tcPr>
          <w:p>
            <w:r>
              <w:rPr>
                <w:rFonts w:ascii="Calibri" w:hAnsi="Calibri"/>
                <w:sz w:val="22"/>
              </w:rPr>
              <w:t>N/A — no quarterly fee rev. guidance</w:t>
            </w:r>
          </w:p>
        </w:tc>
      </w:tr>
      <w:tr>
        <w:tc>
          <w:tcPr>
            <w:tcW w:type="dxa" w:w="1234"/>
          </w:tcPr>
          <w:p>
            <w:r>
              <w:rPr>
                <w:rFonts w:ascii="Calibri" w:hAnsi="Calibri"/>
                <w:b/>
                <w:sz w:val="22"/>
              </w:rPr>
              <w:t>Adjusted EPS — Diluted</w:t>
            </w:r>
          </w:p>
        </w:tc>
        <w:tc>
          <w:tcPr>
            <w:tcW w:type="dxa" w:w="1234"/>
          </w:tcPr>
          <w:p>
            <w:r>
              <w:rPr>
                <w:rFonts w:ascii="Calibri" w:hAnsi="Calibri"/>
                <w:b/>
                <w:sz w:val="22"/>
              </w:rPr>
              <w:t>$1.61</w:t>
            </w:r>
          </w:p>
        </w:tc>
        <w:tc>
          <w:tcPr>
            <w:tcW w:type="dxa" w:w="1234"/>
          </w:tcPr>
          <w:p>
            <w:r>
              <w:rPr>
                <w:rFonts w:ascii="Calibri" w:hAnsi="Calibri"/>
                <w:b/>
                <w:sz w:val="22"/>
              </w:rPr>
              <w:t>$1.20</w:t>
            </w:r>
          </w:p>
        </w:tc>
        <w:tc>
          <w:tcPr>
            <w:tcW w:type="dxa" w:w="1234"/>
          </w:tcPr>
          <w:p>
            <w:r>
              <w:rPr>
                <w:rFonts w:ascii="Calibri" w:hAnsi="Calibri"/>
                <w:b/>
                <w:sz w:val="22"/>
              </w:rPr>
              <w:t>$1.48</w:t>
            </w:r>
          </w:p>
        </w:tc>
        <w:tc>
          <w:tcPr>
            <w:tcW w:type="dxa" w:w="1234"/>
          </w:tcPr>
          <w:p>
            <w:r>
              <w:rPr>
                <w:rFonts w:ascii="Calibri" w:hAnsi="Calibri"/>
                <w:b/>
                <w:sz w:val="22"/>
              </w:rPr>
              <w:t>+23.3%</w:t>
            </w:r>
          </w:p>
        </w:tc>
        <w:tc>
          <w:tcPr>
            <w:tcW w:type="dxa" w:w="1234"/>
          </w:tcPr>
          <w:p>
            <w:r>
              <w:rPr>
                <w:rFonts w:ascii="Calibri" w:hAnsi="Calibri"/>
                <w:b/>
                <w:sz w:val="22"/>
              </w:rPr>
              <w:t>$7.60–$7.80 FY2026</w:t>
            </w:r>
          </w:p>
        </w:tc>
        <w:tc>
          <w:tcPr>
            <w:tcW w:type="dxa" w:w="1234"/>
          </w:tcPr>
          <w:p>
            <w:r>
              <w:rPr>
                <w:rFonts w:ascii="Calibri" w:hAnsi="Calibri"/>
                <w:b/>
                <w:sz w:val="22"/>
              </w:rPr>
              <w:t>FY cons. $7.72 vs. midpoint $7.70: +0.3%</w:t>
            </w:r>
          </w:p>
        </w:tc>
      </w:tr>
      <w:tr>
        <w:tc>
          <w:tcPr>
            <w:tcW w:type="dxa" w:w="1234"/>
          </w:tcPr>
          <w:p>
            <w:r>
              <w:rPr>
                <w:rFonts w:ascii="Calibri" w:hAnsi="Calibri"/>
                <w:sz w:val="22"/>
              </w:rPr>
              <w:t>Adjusted EBITDA</w:t>
            </w:r>
          </w:p>
        </w:tc>
        <w:tc>
          <w:tcPr>
            <w:tcW w:type="dxa" w:w="1234"/>
          </w:tcPr>
          <w:p>
            <w:r>
              <w:rPr>
                <w:rFonts w:ascii="Calibri" w:hAnsi="Calibri"/>
                <w:sz w:val="22"/>
              </w:rPr>
              <w:t>$831M</w:t>
            </w:r>
          </w:p>
        </w:tc>
        <w:tc>
          <w:tcPr>
            <w:tcW w:type="dxa" w:w="1234"/>
          </w:tcPr>
          <w:p>
            <w:r>
              <w:rPr>
                <w:rFonts w:ascii="Calibri" w:hAnsi="Calibri"/>
                <w:sz w:val="22"/>
              </w:rPr>
              <w:t>$626M</w:t>
            </w:r>
          </w:p>
        </w:tc>
        <w:tc>
          <w:tcPr>
            <w:tcW w:type="dxa" w:w="1234"/>
          </w:tcPr>
          <w:p>
            <w:r>
              <w:rPr>
                <w:rFonts w:ascii="Calibri" w:hAnsi="Calibri"/>
                <w:sz w:val="22"/>
              </w:rPr>
              <w:t>$765M</w:t>
            </w:r>
          </w:p>
        </w:tc>
        <w:tc>
          <w:tcPr>
            <w:tcW w:type="dxa" w:w="1234"/>
          </w:tcPr>
          <w:p>
            <w:r>
              <w:rPr>
                <w:rFonts w:ascii="Calibri" w:hAnsi="Calibri"/>
                <w:sz w:val="22"/>
              </w:rPr>
              <w:t>+22.3%</w:t>
            </w:r>
          </w:p>
        </w:tc>
        <w:tc>
          <w:tcPr>
            <w:tcW w:type="dxa" w:w="1234"/>
          </w:tcPr>
          <w:p>
            <w:r>
              <w:rPr>
                <w:rFonts w:ascii="Calibri" w:hAnsi="Calibri"/>
                <w:sz w:val="22"/>
              </w:rPr>
              <w:t>$3.74B (FY cons.)</w:t>
            </w:r>
          </w:p>
        </w:tc>
        <w:tc>
          <w:tcPr>
            <w:tcW w:type="dxa" w:w="1234"/>
          </w:tcPr>
          <w:p>
            <w:r>
              <w:rPr>
                <w:rFonts w:ascii="Calibri" w:hAnsi="Calibri"/>
                <w:sz w:val="22"/>
              </w:rPr>
              <w:t>N/A — no quarterly EBITDA guidance</w:t>
            </w:r>
          </w:p>
        </w:tc>
      </w:tr>
      <w:tr>
        <w:tc>
          <w:tcPr>
            <w:tcW w:type="dxa" w:w="1234"/>
          </w:tcPr>
          <w:p>
            <w:r>
              <w:rPr>
                <w:rFonts w:ascii="Calibri" w:hAnsi="Calibri"/>
                <w:sz w:val="22"/>
              </w:rPr>
              <w:t>Adj. EBITDA Margin (%)</w:t>
            </w:r>
          </w:p>
        </w:tc>
        <w:tc>
          <w:tcPr>
            <w:tcW w:type="dxa" w:w="1234"/>
          </w:tcPr>
          <w:p>
            <w:r>
              <w:rPr>
                <w:rFonts w:ascii="Calibri" w:hAnsi="Calibri"/>
                <w:sz w:val="22"/>
              </w:rPr>
              <w:t>7.9%</w:t>
            </w:r>
          </w:p>
        </w:tc>
        <w:tc>
          <w:tcPr>
            <w:tcW w:type="dxa" w:w="1234"/>
          </w:tcPr>
          <w:p>
            <w:r>
              <w:rPr>
                <w:rFonts w:ascii="Calibri" w:hAnsi="Calibri"/>
                <w:sz w:val="22"/>
              </w:rPr>
              <w:t>6.4%</w:t>
            </w:r>
          </w:p>
        </w:tc>
        <w:tc>
          <w:tcPr>
            <w:tcW w:type="dxa" w:w="1234"/>
          </w:tcPr>
          <w:p>
            <w:r>
              <w:rPr>
                <w:rFonts w:ascii="Calibri" w:hAnsi="Calibri"/>
                <w:sz w:val="22"/>
              </w:rPr>
              <w:t>6.7%</w:t>
            </w:r>
          </w:p>
        </w:tc>
        <w:tc>
          <w:tcPr>
            <w:tcW w:type="dxa" w:w="1234"/>
          </w:tcPr>
          <w:p>
            <w:r>
              <w:rPr>
                <w:rFonts w:ascii="Calibri" w:hAnsi="Calibri"/>
                <w:sz w:val="22"/>
              </w:rPr>
              <w:t>+30 bps</w:t>
            </w:r>
          </w:p>
        </w:tc>
        <w:tc>
          <w:tcPr>
            <w:tcW w:type="dxa" w:w="1234"/>
          </w:tcPr>
          <w:p>
            <w:r>
              <w:rPr>
                <w:rFonts w:ascii="Calibri" w:hAnsi="Calibri"/>
                <w:sz w:val="22"/>
              </w:rPr>
              <w:t>~7.9% FY (cons.)</w:t>
            </w:r>
          </w:p>
        </w:tc>
        <w:tc>
          <w:tcPr>
            <w:tcW w:type="dxa" w:w="1234"/>
          </w:tcPr>
          <w:p>
            <w:r>
              <w:rPr>
                <w:rFonts w:ascii="Calibri" w:hAnsi="Calibri"/>
                <w:sz w:val="22"/>
              </w:rPr>
              <w:t>N/A</w:t>
            </w:r>
          </w:p>
        </w:tc>
      </w:tr>
      <w:tr>
        <w:tc>
          <w:tcPr>
            <w:tcW w:type="dxa" w:w="1234"/>
          </w:tcPr>
          <w:p>
            <w:r>
              <w:rPr>
                <w:rFonts w:ascii="Calibri" w:hAnsi="Calibri"/>
                <w:sz w:val="22"/>
              </w:rPr>
              <w:t>Advisory Services Revenue</w:t>
            </w:r>
          </w:p>
        </w:tc>
        <w:tc>
          <w:tcPr>
            <w:tcW w:type="dxa" w:w="1234"/>
          </w:tcPr>
          <w:p>
            <w:r>
              <w:rPr>
                <w:rFonts w:ascii="Calibri" w:hAnsi="Calibri"/>
                <w:sz w:val="22"/>
              </w:rPr>
              <w:t>$2.02B</w:t>
            </w:r>
          </w:p>
        </w:tc>
        <w:tc>
          <w:tcPr>
            <w:tcW w:type="dxa" w:w="1234"/>
          </w:tcPr>
          <w:p>
            <w:r>
              <w:rPr>
                <w:rFonts w:ascii="Calibri" w:hAnsi="Calibri"/>
                <w:sz w:val="22"/>
              </w:rPr>
              <w:t>$1.96B</w:t>
            </w:r>
          </w:p>
        </w:tc>
        <w:tc>
          <w:tcPr>
            <w:tcW w:type="dxa" w:w="1234"/>
          </w:tcPr>
          <w:p>
            <w:r>
              <w:rPr>
                <w:rFonts w:ascii="Calibri" w:hAnsi="Calibri"/>
                <w:sz w:val="22"/>
              </w:rPr>
              <w:t>$2.21B</w:t>
            </w:r>
          </w:p>
        </w:tc>
        <w:tc>
          <w:tcPr>
            <w:tcW w:type="dxa" w:w="1234"/>
          </w:tcPr>
          <w:p>
            <w:r>
              <w:rPr>
                <w:rFonts w:ascii="Calibri" w:hAnsi="Calibri"/>
                <w:sz w:val="22"/>
              </w:rPr>
              <w:t>+12.9%</w:t>
            </w:r>
          </w:p>
        </w:tc>
        <w:tc>
          <w:tcPr>
            <w:tcW w:type="dxa" w:w="1234"/>
          </w:tcPr>
          <w:p>
            <w:r>
              <w:rPr>
                <w:rFonts w:ascii="Calibri" w:hAnsi="Calibri"/>
                <w:sz w:val="22"/>
              </w:rPr>
              <w:t>High-teens SOP growth (FY)</w:t>
            </w:r>
          </w:p>
        </w:tc>
        <w:tc>
          <w:tcPr>
            <w:tcW w:type="dxa" w:w="1234"/>
          </w:tcPr>
          <w:p>
            <w:r>
              <w:rPr>
                <w:rFonts w:ascii="Calibri" w:hAnsi="Calibri"/>
                <w:sz w:val="22"/>
              </w:rPr>
              <w:t>N/A — no quarterly rev. guidance</w:t>
            </w:r>
          </w:p>
        </w:tc>
      </w:tr>
      <w:tr>
        <w:tc>
          <w:tcPr>
            <w:tcW w:type="dxa" w:w="1234"/>
          </w:tcPr>
          <w:p>
            <w:r>
              <w:rPr>
                <w:rFonts w:ascii="Calibri" w:hAnsi="Calibri"/>
                <w:sz w:val="22"/>
              </w:rPr>
              <w:t>BOE Revenue</w:t>
            </w:r>
          </w:p>
        </w:tc>
        <w:tc>
          <w:tcPr>
            <w:tcW w:type="dxa" w:w="1234"/>
          </w:tcPr>
          <w:p>
            <w:r>
              <w:rPr>
                <w:rFonts w:ascii="Calibri" w:hAnsi="Calibri"/>
                <w:sz w:val="22"/>
              </w:rPr>
              <w:t>$6.49B</w:t>
            </w:r>
          </w:p>
        </w:tc>
        <w:tc>
          <w:tcPr>
            <w:tcW w:type="dxa" w:w="1234"/>
          </w:tcPr>
          <w:p>
            <w:r>
              <w:rPr>
                <w:rFonts w:ascii="Calibri" w:hAnsi="Calibri"/>
                <w:sz w:val="22"/>
              </w:rPr>
              <w:t>$5.83B</w:t>
            </w:r>
          </w:p>
        </w:tc>
        <w:tc>
          <w:tcPr>
            <w:tcW w:type="dxa" w:w="1234"/>
          </w:tcPr>
          <w:p>
            <w:r>
              <w:rPr>
                <w:rFonts w:ascii="Calibri" w:hAnsi="Calibri"/>
                <w:sz w:val="22"/>
              </w:rPr>
              <w:t>$6.82B</w:t>
            </w:r>
          </w:p>
        </w:tc>
        <w:tc>
          <w:tcPr>
            <w:tcW w:type="dxa" w:w="1234"/>
          </w:tcPr>
          <w:p>
            <w:r>
              <w:rPr>
                <w:rFonts w:ascii="Calibri" w:hAnsi="Calibri"/>
                <w:sz w:val="22"/>
              </w:rPr>
              <w:t>+17.0%</w:t>
            </w:r>
          </w:p>
        </w:tc>
        <w:tc>
          <w:tcPr>
            <w:tcW w:type="dxa" w:w="1234"/>
          </w:tcPr>
          <w:p>
            <w:r>
              <w:rPr>
                <w:rFonts w:ascii="Calibri" w:hAnsi="Calibri"/>
                <w:sz w:val="22"/>
              </w:rPr>
              <w:t>~25% SOP growth (FY)</w:t>
            </w:r>
          </w:p>
        </w:tc>
        <w:tc>
          <w:tcPr>
            <w:tcW w:type="dxa" w:w="1234"/>
          </w:tcPr>
          <w:p>
            <w:r>
              <w:rPr>
                <w:rFonts w:ascii="Calibri" w:hAnsi="Calibri"/>
                <w:sz w:val="22"/>
              </w:rPr>
              <w:t>N/A — no quarterly rev. guidance</w:t>
            </w:r>
          </w:p>
        </w:tc>
      </w:tr>
      <w:tr>
        <w:tc>
          <w:tcPr>
            <w:tcW w:type="dxa" w:w="1234"/>
          </w:tcPr>
          <w:p>
            <w:r>
              <w:rPr>
                <w:rFonts w:ascii="Calibri" w:hAnsi="Calibri"/>
                <w:sz w:val="22"/>
              </w:rPr>
              <w:t>Project Management Revenue</w:t>
            </w:r>
          </w:p>
        </w:tc>
        <w:tc>
          <w:tcPr>
            <w:tcW w:type="dxa" w:w="1234"/>
          </w:tcPr>
          <w:p>
            <w:r>
              <w:rPr>
                <w:rFonts w:ascii="Calibri" w:hAnsi="Calibri"/>
                <w:sz w:val="22"/>
              </w:rPr>
              <w:t>$1.84B</w:t>
            </w:r>
          </w:p>
        </w:tc>
        <w:tc>
          <w:tcPr>
            <w:tcW w:type="dxa" w:w="1234"/>
          </w:tcPr>
          <w:p>
            <w:r>
              <w:rPr>
                <w:rFonts w:ascii="Calibri" w:hAnsi="Calibri"/>
                <w:sz w:val="22"/>
              </w:rPr>
              <w:t>$1.72B</w:t>
            </w:r>
          </w:p>
        </w:tc>
        <w:tc>
          <w:tcPr>
            <w:tcW w:type="dxa" w:w="1234"/>
          </w:tcPr>
          <w:p>
            <w:r>
              <w:rPr>
                <w:rFonts w:ascii="Calibri" w:hAnsi="Calibri"/>
                <w:sz w:val="22"/>
              </w:rPr>
              <w:t>$1.93B</w:t>
            </w:r>
          </w:p>
        </w:tc>
        <w:tc>
          <w:tcPr>
            <w:tcW w:type="dxa" w:w="1234"/>
          </w:tcPr>
          <w:p>
            <w:r>
              <w:rPr>
                <w:rFonts w:ascii="Calibri" w:hAnsi="Calibri"/>
                <w:sz w:val="22"/>
              </w:rPr>
              <w:t>+12.5%</w:t>
            </w:r>
          </w:p>
        </w:tc>
        <w:tc>
          <w:tcPr>
            <w:tcW w:type="dxa" w:w="1234"/>
          </w:tcPr>
          <w:p>
            <w:r>
              <w:rPr>
                <w:rFonts w:ascii="Calibri" w:hAnsi="Calibri"/>
                <w:sz w:val="22"/>
              </w:rPr>
              <w:t>Unchanged (FY)</w:t>
            </w:r>
          </w:p>
        </w:tc>
        <w:tc>
          <w:tcPr>
            <w:tcW w:type="dxa" w:w="1234"/>
          </w:tcPr>
          <w:p>
            <w:r>
              <w:rPr>
                <w:rFonts w:ascii="Calibri" w:hAnsi="Calibri"/>
                <w:sz w:val="22"/>
              </w:rPr>
              <w:t>N/A — no quarterly rev. guidance</w:t>
            </w:r>
          </w:p>
        </w:tc>
      </w:tr>
      <w:tr>
        <w:tc>
          <w:tcPr>
            <w:tcW w:type="dxa" w:w="1234"/>
          </w:tcPr>
          <w:p>
            <w:r>
              <w:rPr>
                <w:rFonts w:ascii="Calibri" w:hAnsi="Calibri"/>
                <w:sz w:val="22"/>
              </w:rPr>
              <w:t>Critical Infrastructure (BOE)</w:t>
            </w:r>
          </w:p>
        </w:tc>
        <w:tc>
          <w:tcPr>
            <w:tcW w:type="dxa" w:w="1234"/>
          </w:tcPr>
          <w:p>
            <w:r>
              <w:rPr>
                <w:rFonts w:ascii="Calibri" w:hAnsi="Calibri"/>
                <w:sz w:val="22"/>
              </w:rPr>
              <w:t>$578M</w:t>
            </w:r>
          </w:p>
        </w:tc>
        <w:tc>
          <w:tcPr>
            <w:tcW w:type="dxa" w:w="1234"/>
          </w:tcPr>
          <w:p>
            <w:r>
              <w:rPr>
                <w:rFonts w:ascii="Calibri" w:hAnsi="Calibri"/>
                <w:sz w:val="22"/>
              </w:rPr>
              <w:t>$403M</w:t>
            </w:r>
          </w:p>
        </w:tc>
        <w:tc>
          <w:tcPr>
            <w:tcW w:type="dxa" w:w="1234"/>
          </w:tcPr>
          <w:p>
            <w:r>
              <w:rPr>
                <w:rFonts w:ascii="Calibri" w:hAnsi="Calibri"/>
                <w:sz w:val="22"/>
              </w:rPr>
              <w:t>$646M</w:t>
            </w:r>
          </w:p>
        </w:tc>
        <w:tc>
          <w:tcPr>
            <w:tcW w:type="dxa" w:w="1234"/>
          </w:tcPr>
          <w:p>
            <w:r>
              <w:rPr>
                <w:rFonts w:ascii="Calibri" w:hAnsi="Calibri"/>
                <w:sz w:val="22"/>
              </w:rPr>
              <w:t>+60.3%</w:t>
            </w:r>
          </w:p>
        </w:tc>
        <w:tc>
          <w:tcPr>
            <w:tcW w:type="dxa" w:w="1234"/>
          </w:tcPr>
          <w:p>
            <w:r>
              <w:rPr>
                <w:rFonts w:ascii="Calibri" w:hAnsi="Calibri"/>
                <w:sz w:val="22"/>
              </w:rPr>
              <w:t>&gt;60% growth (FY)</w:t>
            </w:r>
          </w:p>
        </w:tc>
        <w:tc>
          <w:tcPr>
            <w:tcW w:type="dxa" w:w="1234"/>
          </w:tcPr>
          <w:p>
            <w:r>
              <w:rPr>
                <w:rFonts w:ascii="Calibri" w:hAnsi="Calibri"/>
                <w:sz w:val="22"/>
              </w:rPr>
              <w:t>Cons. $646M vs. implied run-rate: on track</w:t>
            </w:r>
          </w:p>
        </w:tc>
      </w:tr>
      <w:tr>
        <w:tc>
          <w:tcPr>
            <w:tcW w:type="dxa" w:w="1234"/>
          </w:tcPr>
          <w:p>
            <w:r>
              <w:rPr>
                <w:rFonts w:ascii="Calibri" w:hAnsi="Calibri"/>
                <w:sz w:val="22"/>
              </w:rPr>
              <w:t>Leasing Revenue</w:t>
            </w:r>
          </w:p>
        </w:tc>
        <w:tc>
          <w:tcPr>
            <w:tcW w:type="dxa" w:w="1234"/>
          </w:tcPr>
          <w:p>
            <w:r>
              <w:rPr>
                <w:rFonts w:ascii="Calibri" w:hAnsi="Calibri"/>
                <w:sz w:val="22"/>
              </w:rPr>
              <w:t>$1.04B</w:t>
            </w:r>
          </w:p>
        </w:tc>
        <w:tc>
          <w:tcPr>
            <w:tcW w:type="dxa" w:w="1234"/>
          </w:tcPr>
          <w:p>
            <w:r>
              <w:rPr>
                <w:rFonts w:ascii="Calibri" w:hAnsi="Calibri"/>
                <w:sz w:val="22"/>
              </w:rPr>
              <w:t>$995M</w:t>
            </w:r>
          </w:p>
        </w:tc>
        <w:tc>
          <w:tcPr>
            <w:tcW w:type="dxa" w:w="1234"/>
          </w:tcPr>
          <w:p>
            <w:r>
              <w:rPr>
                <w:rFonts w:ascii="Calibri" w:hAnsi="Calibri"/>
                <w:sz w:val="22"/>
              </w:rPr>
              <w:t>$1.15B</w:t>
            </w:r>
          </w:p>
        </w:tc>
        <w:tc>
          <w:tcPr>
            <w:tcW w:type="dxa" w:w="1234"/>
          </w:tcPr>
          <w:p>
            <w:r>
              <w:rPr>
                <w:rFonts w:ascii="Calibri" w:hAnsi="Calibri"/>
                <w:sz w:val="22"/>
              </w:rPr>
              <w:t>+15.7%</w:t>
            </w:r>
          </w:p>
        </w:tc>
        <w:tc>
          <w:tcPr>
            <w:tcW w:type="dxa" w:w="1234"/>
          </w:tcPr>
          <w:p>
            <w:r>
              <w:rPr>
                <w:rFonts w:ascii="Calibri" w:hAnsi="Calibri"/>
                <w:sz w:val="22"/>
              </w:rPr>
              <w:t>N/A — no quarterly guidance</w:t>
            </w:r>
          </w:p>
        </w:tc>
        <w:tc>
          <w:tcPr>
            <w:tcW w:type="dxa" w:w="1234"/>
          </w:tcPr>
          <w:p>
            <w:r>
              <w:rPr>
                <w:rFonts w:ascii="Calibri" w:hAnsi="Calibri"/>
                <w:sz w:val="22"/>
              </w:rPr>
              <w:t>N/A</w:t>
            </w:r>
          </w:p>
        </w:tc>
      </w:tr>
      <w:tr>
        <w:tc>
          <w:tcPr>
            <w:tcW w:type="dxa" w:w="1234"/>
          </w:tcPr>
          <w:p>
            <w:r>
              <w:rPr>
                <w:rFonts w:ascii="Calibri" w:hAnsi="Calibri"/>
                <w:sz w:val="22"/>
              </w:rPr>
              <w:t>Advisory Sales (Property Sales)</w:t>
            </w:r>
          </w:p>
        </w:tc>
        <w:tc>
          <w:tcPr>
            <w:tcW w:type="dxa" w:w="1234"/>
          </w:tcPr>
          <w:p>
            <w:r>
              <w:rPr>
                <w:rFonts w:ascii="Calibri" w:hAnsi="Calibri"/>
                <w:sz w:val="22"/>
              </w:rPr>
              <w:t>$513M</w:t>
            </w:r>
          </w:p>
        </w:tc>
        <w:tc>
          <w:tcPr>
            <w:tcW w:type="dxa" w:w="1234"/>
          </w:tcPr>
          <w:p>
            <w:r>
              <w:rPr>
                <w:rFonts w:ascii="Calibri" w:hAnsi="Calibri"/>
                <w:sz w:val="22"/>
              </w:rPr>
              <w:t>$459M</w:t>
            </w:r>
          </w:p>
        </w:tc>
        <w:tc>
          <w:tcPr>
            <w:tcW w:type="dxa" w:w="1234"/>
          </w:tcPr>
          <w:p>
            <w:r>
              <w:rPr>
                <w:rFonts w:ascii="Calibri" w:hAnsi="Calibri"/>
                <w:sz w:val="22"/>
              </w:rPr>
              <w:t>$542M</w:t>
            </w:r>
          </w:p>
        </w:tc>
        <w:tc>
          <w:tcPr>
            <w:tcW w:type="dxa" w:w="1234"/>
          </w:tcPr>
          <w:p>
            <w:r>
              <w:rPr>
                <w:rFonts w:ascii="Calibri" w:hAnsi="Calibri"/>
                <w:sz w:val="22"/>
              </w:rPr>
              <w:t>+18.1%</w:t>
            </w:r>
          </w:p>
        </w:tc>
        <w:tc>
          <w:tcPr>
            <w:tcW w:type="dxa" w:w="1234"/>
          </w:tcPr>
          <w:p>
            <w:r>
              <w:rPr>
                <w:rFonts w:ascii="Calibri" w:hAnsi="Calibri"/>
                <w:sz w:val="22"/>
              </w:rPr>
              <w:t>N/A — no quarterly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28, 2026. Q1 2026 actuals are the most recently reported figures. Prior year figures are Q2 2025 actuals.</w:t>
      </w:r>
    </w:p>
    <w:p>
      <w:pPr>
        <w:pStyle w:val="Heading3"/>
      </w:pPr>
      <w:r>
        <w:rPr>
          <w:rFonts w:ascii="Calibri" w:hAnsi="Calibri"/>
          <w:b/>
          <w:color w:val="3B4259"/>
          <w:sz w:val="24"/>
        </w:rPr>
        <w:t>Table 2 — Beat/Miss History: Last 8 Quarters (Top 2 KPIs: Adj. EPS — Diluted &amp; Advisory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$1.61</w:t>
            </w:r>
          </w:p>
        </w:tc>
        <w:tc>
          <w:tcPr>
            <w:tcW w:type="dxa" w:w="1440"/>
          </w:tcPr>
          <w:p>
            <w:r>
              <w:rPr>
                <w:rFonts w:ascii="Calibri" w:hAnsi="Calibri"/>
                <w:sz w:val="22"/>
              </w:rPr>
              <w:t>$1.14</w:t>
            </w:r>
          </w:p>
        </w:tc>
        <w:tc>
          <w:tcPr>
            <w:tcW w:type="dxa" w:w="1440"/>
          </w:tcPr>
          <w:p>
            <w:r>
              <w:rPr>
                <w:rFonts w:ascii="Calibri" w:hAnsi="Calibri"/>
                <w:b/>
                <w:color w:val="30A46C"/>
                <w:sz w:val="22"/>
              </w:rPr>
              <w:t>+41.4%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Advisory Sales</w:t>
            </w:r>
          </w:p>
        </w:tc>
        <w:tc>
          <w:tcPr>
            <w:tcW w:type="dxa" w:w="1440"/>
          </w:tcPr>
          <w:p>
            <w:r>
              <w:rPr>
                <w:rFonts w:ascii="Calibri" w:hAnsi="Calibri"/>
                <w:sz w:val="22"/>
              </w:rPr>
              <w:t>$513M</w:t>
            </w:r>
          </w:p>
        </w:tc>
        <w:tc>
          <w:tcPr>
            <w:tcW w:type="dxa" w:w="1440"/>
          </w:tcPr>
          <w:p>
            <w:r>
              <w:rPr>
                <w:rFonts w:ascii="Calibri" w:hAnsi="Calibri"/>
                <w:sz w:val="22"/>
              </w:rPr>
              <w:t>$425M</w:t>
            </w:r>
          </w:p>
        </w:tc>
        <w:tc>
          <w:tcPr>
            <w:tcW w:type="dxa" w:w="1440"/>
          </w:tcPr>
          <w:p>
            <w:r>
              <w:rPr>
                <w:rFonts w:ascii="Calibri" w:hAnsi="Calibri"/>
                <w:b/>
                <w:color w:val="30A46C"/>
                <w:sz w:val="22"/>
              </w:rPr>
              <w:t>+20.7%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$2.69</w:t>
            </w:r>
          </w:p>
        </w:tc>
        <w:tc>
          <w:tcPr>
            <w:tcW w:type="dxa" w:w="1440"/>
          </w:tcPr>
          <w:p>
            <w:r>
              <w:rPr>
                <w:rFonts w:ascii="Calibri" w:hAnsi="Calibri"/>
                <w:sz w:val="22"/>
              </w:rPr>
              <w:t>$2.69</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Advisory Sales</w:t>
            </w:r>
          </w:p>
        </w:tc>
        <w:tc>
          <w:tcPr>
            <w:tcW w:type="dxa" w:w="1440"/>
          </w:tcPr>
          <w:p>
            <w:r>
              <w:rPr>
                <w:rFonts w:ascii="Calibri" w:hAnsi="Calibri"/>
                <w:sz w:val="22"/>
              </w:rPr>
              <w:t>$756M</w:t>
            </w:r>
          </w:p>
        </w:tc>
        <w:tc>
          <w:tcPr>
            <w:tcW w:type="dxa" w:w="1440"/>
          </w:tcPr>
          <w:p>
            <w:r>
              <w:rPr>
                <w:rFonts w:ascii="Calibri" w:hAnsi="Calibri"/>
                <w:sz w:val="22"/>
              </w:rPr>
              <w:t>$731M</w:t>
            </w:r>
          </w:p>
        </w:tc>
        <w:tc>
          <w:tcPr>
            <w:tcW w:type="dxa" w:w="1440"/>
          </w:tcPr>
          <w:p>
            <w:r>
              <w:rPr>
                <w:rFonts w:ascii="Calibri" w:hAnsi="Calibri"/>
                <w:b/>
                <w:color w:val="30A46C"/>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$1.60</w:t>
            </w:r>
          </w:p>
        </w:tc>
        <w:tc>
          <w:tcPr>
            <w:tcW w:type="dxa" w:w="1440"/>
          </w:tcPr>
          <w:p>
            <w:r>
              <w:rPr>
                <w:rFonts w:ascii="Calibri" w:hAnsi="Calibri"/>
                <w:sz w:val="22"/>
              </w:rPr>
              <w:t>$1.46</w:t>
            </w:r>
          </w:p>
        </w:tc>
        <w:tc>
          <w:tcPr>
            <w:tcW w:type="dxa" w:w="1440"/>
          </w:tcPr>
          <w:p>
            <w:r>
              <w:rPr>
                <w:rFonts w:ascii="Calibri" w:hAnsi="Calibri"/>
                <w:b/>
                <w:color w:val="30A46C"/>
                <w:sz w:val="22"/>
              </w:rPr>
              <w:t>+9.9%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Advisory Sales</w:t>
            </w:r>
          </w:p>
        </w:tc>
        <w:tc>
          <w:tcPr>
            <w:tcW w:type="dxa" w:w="1440"/>
          </w:tcPr>
          <w:p>
            <w:r>
              <w:rPr>
                <w:rFonts w:ascii="Calibri" w:hAnsi="Calibri"/>
                <w:sz w:val="22"/>
              </w:rPr>
              <w:t>$545M</w:t>
            </w:r>
          </w:p>
        </w:tc>
        <w:tc>
          <w:tcPr>
            <w:tcW w:type="dxa" w:w="1440"/>
          </w:tcPr>
          <w:p>
            <w:r>
              <w:rPr>
                <w:rFonts w:ascii="Calibri" w:hAnsi="Calibri"/>
                <w:sz w:val="22"/>
              </w:rPr>
              <w:t>$476M</w:t>
            </w:r>
          </w:p>
        </w:tc>
        <w:tc>
          <w:tcPr>
            <w:tcW w:type="dxa" w:w="1440"/>
          </w:tcPr>
          <w:p>
            <w:r>
              <w:rPr>
                <w:rFonts w:ascii="Calibri" w:hAnsi="Calibri"/>
                <w:b/>
                <w:color w:val="30A46C"/>
                <w:sz w:val="22"/>
              </w:rPr>
              <w:t>+14.5%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$1.20</w:t>
            </w:r>
          </w:p>
        </w:tc>
        <w:tc>
          <w:tcPr>
            <w:tcW w:type="dxa" w:w="1440"/>
          </w:tcPr>
          <w:p>
            <w:r>
              <w:rPr>
                <w:rFonts w:ascii="Calibri" w:hAnsi="Calibri"/>
                <w:sz w:val="22"/>
              </w:rPr>
              <w:t>$1.07</w:t>
            </w:r>
          </w:p>
        </w:tc>
        <w:tc>
          <w:tcPr>
            <w:tcW w:type="dxa" w:w="1440"/>
          </w:tcPr>
          <w:p>
            <w:r>
              <w:rPr>
                <w:rFonts w:ascii="Calibri" w:hAnsi="Calibri"/>
                <w:b/>
                <w:color w:val="30A46C"/>
                <w:sz w:val="22"/>
              </w:rPr>
              <w:t>+12.1%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Advisory Sales</w:t>
            </w:r>
          </w:p>
        </w:tc>
        <w:tc>
          <w:tcPr>
            <w:tcW w:type="dxa" w:w="1440"/>
          </w:tcPr>
          <w:p>
            <w:r>
              <w:rPr>
                <w:rFonts w:ascii="Calibri" w:hAnsi="Calibri"/>
                <w:sz w:val="22"/>
              </w:rPr>
              <w:t>$459M</w:t>
            </w:r>
          </w:p>
        </w:tc>
        <w:tc>
          <w:tcPr>
            <w:tcW w:type="dxa" w:w="1440"/>
          </w:tcPr>
          <w:p>
            <w:r>
              <w:rPr>
                <w:rFonts w:ascii="Calibri" w:hAnsi="Calibri"/>
                <w:sz w:val="22"/>
              </w:rPr>
              <w:t>$420M</w:t>
            </w:r>
          </w:p>
        </w:tc>
        <w:tc>
          <w:tcPr>
            <w:tcW w:type="dxa" w:w="1440"/>
          </w:tcPr>
          <w:p>
            <w:r>
              <w:rPr>
                <w:rFonts w:ascii="Calibri" w:hAnsi="Calibri"/>
                <w:b/>
                <w:color w:val="30A46C"/>
                <w:sz w:val="22"/>
              </w:rPr>
              <w:t>+9.3%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$0.89</w:t>
            </w:r>
          </w:p>
        </w:tc>
        <w:tc>
          <w:tcPr>
            <w:tcW w:type="dxa" w:w="1440"/>
          </w:tcPr>
          <w:p>
            <w:r>
              <w:rPr>
                <w:rFonts w:ascii="Calibri" w:hAnsi="Calibri"/>
                <w:sz w:val="22"/>
              </w:rPr>
              <w:t>$0.76</w:t>
            </w:r>
          </w:p>
        </w:tc>
        <w:tc>
          <w:tcPr>
            <w:tcW w:type="dxa" w:w="1440"/>
          </w:tcPr>
          <w:p>
            <w:r>
              <w:rPr>
                <w:rFonts w:ascii="Calibri" w:hAnsi="Calibri"/>
                <w:b/>
                <w:color w:val="30A46C"/>
                <w:sz w:val="22"/>
              </w:rPr>
              <w:t>+16.5%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Advisory Sales</w:t>
            </w:r>
          </w:p>
        </w:tc>
        <w:tc>
          <w:tcPr>
            <w:tcW w:type="dxa" w:w="1440"/>
          </w:tcPr>
          <w:p>
            <w:r>
              <w:rPr>
                <w:rFonts w:ascii="Calibri" w:hAnsi="Calibri"/>
                <w:sz w:val="22"/>
              </w:rPr>
              <w:t>$360M</w:t>
            </w:r>
          </w:p>
        </w:tc>
        <w:tc>
          <w:tcPr>
            <w:tcW w:type="dxa" w:w="1440"/>
          </w:tcPr>
          <w:p>
            <w:r>
              <w:rPr>
                <w:rFonts w:ascii="Calibri" w:hAnsi="Calibri"/>
                <w:sz w:val="22"/>
              </w:rPr>
              <w:t>$376M</w:t>
            </w:r>
          </w:p>
        </w:tc>
        <w:tc>
          <w:tcPr>
            <w:tcW w:type="dxa" w:w="1440"/>
          </w:tcPr>
          <w:p>
            <w:r>
              <w:rPr>
                <w:rFonts w:ascii="Calibri" w:hAnsi="Calibri"/>
                <w:b/>
                <w:color w:val="E5484D"/>
                <w:sz w:val="22"/>
              </w:rPr>
              <w:t>-4.3%</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$2.28</w:t>
            </w:r>
          </w:p>
        </w:tc>
        <w:tc>
          <w:tcPr>
            <w:tcW w:type="dxa" w:w="1440"/>
          </w:tcPr>
          <w:p>
            <w:r>
              <w:rPr>
                <w:rFonts w:ascii="Calibri" w:hAnsi="Calibri"/>
                <w:sz w:val="22"/>
              </w:rPr>
              <w:t>$2.23</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Advisory Sales</w:t>
            </w:r>
          </w:p>
        </w:tc>
        <w:tc>
          <w:tcPr>
            <w:tcW w:type="dxa" w:w="1440"/>
          </w:tcPr>
          <w:p>
            <w:r>
              <w:rPr>
                <w:rFonts w:ascii="Calibri" w:hAnsi="Calibri"/>
                <w:sz w:val="22"/>
              </w:rPr>
              <w:t>$638M</w:t>
            </w:r>
          </w:p>
        </w:tc>
        <w:tc>
          <w:tcPr>
            <w:tcW w:type="dxa" w:w="1440"/>
          </w:tcPr>
          <w:p>
            <w:r>
              <w:rPr>
                <w:rFonts w:ascii="Calibri" w:hAnsi="Calibri"/>
                <w:sz w:val="22"/>
              </w:rPr>
              <w:t>$612M</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$1.19</w:t>
            </w:r>
          </w:p>
        </w:tc>
        <w:tc>
          <w:tcPr>
            <w:tcW w:type="dxa" w:w="1440"/>
          </w:tcPr>
          <w:p>
            <w:r>
              <w:rPr>
                <w:rFonts w:ascii="Calibri" w:hAnsi="Calibri"/>
                <w:sz w:val="22"/>
              </w:rPr>
              <w:t>$1.06</w:t>
            </w:r>
          </w:p>
        </w:tc>
        <w:tc>
          <w:tcPr>
            <w:tcW w:type="dxa" w:w="1440"/>
          </w:tcPr>
          <w:p>
            <w:r>
              <w:rPr>
                <w:rFonts w:ascii="Calibri" w:hAnsi="Calibri"/>
                <w:b/>
                <w:color w:val="30A46C"/>
                <w:sz w:val="22"/>
              </w:rPr>
              <w:t>+12.3%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Advisory Sales</w:t>
            </w:r>
          </w:p>
        </w:tc>
        <w:tc>
          <w:tcPr>
            <w:tcW w:type="dxa" w:w="1440"/>
          </w:tcPr>
          <w:p>
            <w:r>
              <w:rPr>
                <w:rFonts w:ascii="Calibri" w:hAnsi="Calibri"/>
                <w:sz w:val="22"/>
              </w:rPr>
              <w:t>$420M</w:t>
            </w:r>
          </w:p>
        </w:tc>
        <w:tc>
          <w:tcPr>
            <w:tcW w:type="dxa" w:w="1440"/>
          </w:tcPr>
          <w:p>
            <w:r>
              <w:rPr>
                <w:rFonts w:ascii="Calibri" w:hAnsi="Calibri"/>
                <w:sz w:val="22"/>
              </w:rPr>
              <w:t>$400M</w:t>
            </w:r>
          </w:p>
        </w:tc>
        <w:tc>
          <w:tcPr>
            <w:tcW w:type="dxa" w:w="1440"/>
          </w:tcPr>
          <w:p>
            <w:r>
              <w:rPr>
                <w:rFonts w:ascii="Calibri" w:hAnsi="Calibri"/>
                <w:b/>
                <w:color w:val="30A46C"/>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$0.83</w:t>
            </w:r>
          </w:p>
        </w:tc>
        <w:tc>
          <w:tcPr>
            <w:tcW w:type="dxa" w:w="1440"/>
          </w:tcPr>
          <w:p>
            <w:r>
              <w:rPr>
                <w:rFonts w:ascii="Calibri" w:hAnsi="Calibri"/>
                <w:sz w:val="22"/>
              </w:rPr>
              <w:t>$0.70</w:t>
            </w:r>
          </w:p>
        </w:tc>
        <w:tc>
          <w:tcPr>
            <w:tcW w:type="dxa" w:w="1440"/>
          </w:tcPr>
          <w:p>
            <w:r>
              <w:rPr>
                <w:rFonts w:ascii="Calibri" w:hAnsi="Calibri"/>
                <w:b/>
                <w:color w:val="30A46C"/>
                <w:sz w:val="22"/>
              </w:rPr>
              <w:t>+18.6%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Advisory Sales</w:t>
            </w:r>
          </w:p>
        </w:tc>
        <w:tc>
          <w:tcPr>
            <w:tcW w:type="dxa" w:w="1440"/>
          </w:tcPr>
          <w:p>
            <w:r>
              <w:rPr>
                <w:rFonts w:ascii="Calibri" w:hAnsi="Calibri"/>
                <w:sz w:val="22"/>
              </w:rPr>
              <w:t>$384M</w:t>
            </w:r>
          </w:p>
        </w:tc>
        <w:tc>
          <w:tcPr>
            <w:tcW w:type="dxa" w:w="1440"/>
          </w:tcPr>
          <w:p>
            <w:r>
              <w:rPr>
                <w:rFonts w:ascii="Calibri" w:hAnsi="Calibri"/>
                <w:sz w:val="22"/>
              </w:rPr>
              <w:t>$353M</w:t>
            </w:r>
          </w:p>
        </w:tc>
        <w:tc>
          <w:tcPr>
            <w:tcW w:type="dxa" w:w="1440"/>
          </w:tcPr>
          <w:p>
            <w:r>
              <w:rPr>
                <w:rFonts w:ascii="Calibri" w:hAnsi="Calibri"/>
                <w:b/>
                <w:color w:val="30A46C"/>
                <w:sz w:val="22"/>
              </w:rPr>
              <w:t>+8.8%</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CBRE has beaten Adj. EPS consensus in 7 of the last 8 quarters, with an average beat of ~14% — the Street consistently underestimates earnings power. Advisory Sales beats are also the norm (7 of 8), though Q1 2025 was a miss, suggesting capital markets can be lumpy. The Q1 2026 EPS beat of +41% was an outlier driven by land development pull-forward and infrastructure outperformance.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FY2026 core EPS guidance at Q1 earnings (April 23) to $7.60–$7.80 from $7.30–$7.60, with tone decidedly more confident — two-thirds of the raise reflects higher expectations for the rest of the year, not just Q1 outperformance. </w:t>
      </w:r>
      <w:r>
        <w:rPr>
          <w:rFonts w:ascii="Calibri" w:hAnsi="Calibri"/>
          <w:color w:val="525866"/>
          <w:sz w:val="22"/>
        </w:rPr>
        <w:t>No further formal guidance updates have been issued since the Q1 print; the $1B revolving credit facility (June 23) and $750M senior notes (May 4) are capital structure actions, not guidance changes.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23)</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FY2026 Core EPS</w:t>
            </w:r>
          </w:p>
        </w:tc>
        <w:tc>
          <w:tcPr>
            <w:tcW w:type="dxa" w:w="1728"/>
          </w:tcPr>
          <w:p>
            <w:r>
              <w:rPr>
                <w:rFonts w:ascii="Calibri" w:hAnsi="Calibri"/>
                <w:sz w:val="22"/>
              </w:rPr>
              <w:t>$7.60–$7.80 (&gt;20% growth at midpoint; raised from $7.30–$7.60)</w:t>
            </w:r>
          </w:p>
        </w:tc>
        <w:tc>
          <w:tcPr>
            <w:tcW w:type="dxa" w:w="1728"/>
          </w:tcPr>
          <w:p>
            <w:r>
              <w:rPr>
                <w:rFonts w:ascii="Calibri" w:hAnsi="Calibri"/>
                <w:sz w:val="22"/>
              </w:rPr>
              <w:t>—</w:t>
            </w:r>
          </w:p>
        </w:tc>
        <w:tc>
          <w:tcPr>
            <w:tcW w:type="dxa" w:w="1728"/>
          </w:tcPr>
          <w:p>
            <w:r>
              <w:rPr>
                <w:rFonts w:ascii="Calibri" w:hAnsi="Calibri"/>
                <w:sz w:val="22"/>
              </w:rPr>
              <w:t>$7.72</w:t>
            </w:r>
          </w:p>
        </w:tc>
        <w:tc>
          <w:tcPr>
            <w:tcW w:type="dxa" w:w="1728"/>
          </w:tcPr>
          <w:p>
            <w:r>
              <w:rPr>
                <w:rFonts w:ascii="Calibri" w:hAnsi="Calibri"/>
                <w:sz w:val="22"/>
              </w:rPr>
              <w:t>Raised at Q1 earnings; ~2/3 of raise reflects higher H2 expectations. No post-earnings update.</w:t>
            </w:r>
          </w:p>
        </w:tc>
      </w:tr>
      <w:tr>
        <w:tc>
          <w:tcPr>
            <w:tcW w:type="dxa" w:w="1728"/>
          </w:tcPr>
          <w:p>
            <w:r>
              <w:rPr>
                <w:rFonts w:ascii="Calibri" w:hAnsi="Calibri"/>
                <w:sz w:val="22"/>
              </w:rPr>
              <w:t>Advisory SOP Growth (FY2026)</w:t>
            </w:r>
          </w:p>
        </w:tc>
        <w:tc>
          <w:tcPr>
            <w:tcW w:type="dxa" w:w="1728"/>
          </w:tcPr>
          <w:p>
            <w:r>
              <w:rPr>
                <w:rFonts w:ascii="Calibri" w:hAnsi="Calibri"/>
                <w:sz w:val="22"/>
              </w:rPr>
              <w:t>High-teens SOP growth</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since Q1 call. Margins at 2019 peak; incremental upside limited.</w:t>
            </w:r>
          </w:p>
        </w:tc>
      </w:tr>
      <w:tr>
        <w:tc>
          <w:tcPr>
            <w:tcW w:type="dxa" w:w="1728"/>
          </w:tcPr>
          <w:p>
            <w:r>
              <w:rPr>
                <w:rFonts w:ascii="Calibri" w:hAnsi="Calibri"/>
                <w:sz w:val="22"/>
              </w:rPr>
              <w:t>BOE SOP Growth (FY2026)</w:t>
            </w:r>
          </w:p>
        </w:tc>
        <w:tc>
          <w:tcPr>
            <w:tcW w:type="dxa" w:w="1728"/>
          </w:tcPr>
          <w:p>
            <w:r>
              <w:rPr>
                <w:rFonts w:ascii="Calibri" w:hAnsi="Calibri"/>
                <w:sz w:val="22"/>
              </w:rPr>
              <w:t>~25% SOP growth (incl. cost reclassification; high-teens underlying)</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Reclassification is D&amp;A-neutral to net income. Primary margin expansion locus going forward.</w:t>
            </w:r>
          </w:p>
        </w:tc>
      </w:tr>
      <w:tr>
        <w:tc>
          <w:tcPr>
            <w:tcW w:type="dxa" w:w="1728"/>
          </w:tcPr>
          <w:p>
            <w:r>
              <w:rPr>
                <w:rFonts w:ascii="Calibri" w:hAnsi="Calibri"/>
                <w:sz w:val="22"/>
              </w:rPr>
              <w:t>Critical Infrastructure Revenue Growth (FY2026)</w:t>
            </w:r>
          </w:p>
        </w:tc>
        <w:tc>
          <w:tcPr>
            <w:tcW w:type="dxa" w:w="1728"/>
          </w:tcPr>
          <w:p>
            <w:r>
              <w:rPr>
                <w:rFonts w:ascii="Calibri" w:hAnsi="Calibri"/>
                <w:sz w:val="22"/>
              </w:rPr>
              <w:t>&gt;60% growth</w:t>
            </w:r>
          </w:p>
        </w:tc>
        <w:tc>
          <w:tcPr>
            <w:tcW w:type="dxa" w:w="1728"/>
          </w:tcPr>
          <w:p>
            <w:r>
              <w:rPr>
                <w:rFonts w:ascii="Calibri" w:hAnsi="Calibri"/>
                <w:sz w:val="22"/>
              </w:rPr>
              <w:t>—</w:t>
            </w:r>
          </w:p>
        </w:tc>
        <w:tc>
          <w:tcPr>
            <w:tcW w:type="dxa" w:w="1728"/>
          </w:tcPr>
          <w:p>
            <w:r>
              <w:rPr>
                <w:rFonts w:ascii="Calibri" w:hAnsi="Calibri"/>
                <w:sz w:val="22"/>
              </w:rPr>
              <w:t>$2.76B FY cons. (vs. $1.56B in 2025 = +77% implied)</w:t>
            </w:r>
          </w:p>
        </w:tc>
        <w:tc>
          <w:tcPr>
            <w:tcW w:type="dxa" w:w="1728"/>
          </w:tcPr>
          <w:p>
            <w:r>
              <w:rPr>
                <w:rFonts w:ascii="Calibri" w:hAnsi="Calibri"/>
                <w:sz w:val="22"/>
              </w:rPr>
              <w:t>Consensus slightly above guidance midpoint. Key watch item for Q2.</w:t>
            </w:r>
          </w:p>
        </w:tc>
      </w:tr>
      <w:tr>
        <w:tc>
          <w:tcPr>
            <w:tcW w:type="dxa" w:w="1728"/>
          </w:tcPr>
          <w:p>
            <w:r>
              <w:rPr>
                <w:rFonts w:ascii="Calibri" w:hAnsi="Calibri"/>
                <w:sz w:val="22"/>
              </w:rPr>
              <w:t>Project Management SOP (FY2026)</w:t>
            </w:r>
          </w:p>
        </w:tc>
        <w:tc>
          <w:tcPr>
            <w:tcW w:type="dxa" w:w="1728"/>
          </w:tcPr>
          <w:p>
            <w:r>
              <w:rPr>
                <w:rFonts w:ascii="Calibri" w:hAnsi="Calibri"/>
                <w:sz w:val="22"/>
              </w:rPr>
              <w:t>Unchanged from prior guidance</w:t>
            </w:r>
          </w:p>
        </w:tc>
        <w:tc>
          <w:tcPr>
            <w:tcW w:type="dxa" w:w="1728"/>
          </w:tcPr>
          <w:p>
            <w:r>
              <w:rPr>
                <w:rFonts w:ascii="Calibri" w:hAnsi="Calibri"/>
                <w:sz w:val="22"/>
              </w:rPr>
              <w:t>—</w:t>
            </w:r>
          </w:p>
        </w:tc>
        <w:tc>
          <w:tcPr>
            <w:tcW w:type="dxa" w:w="1728"/>
          </w:tcPr>
          <w:p>
            <w:r>
              <w:rPr>
                <w:rFonts w:ascii="Calibri" w:hAnsi="Calibri"/>
                <w:sz w:val="22"/>
              </w:rPr>
              <w:t>$8.35B FY rev. cons.</w:t>
            </w:r>
          </w:p>
        </w:tc>
        <w:tc>
          <w:tcPr>
            <w:tcW w:type="dxa" w:w="1728"/>
          </w:tcPr>
          <w:p>
            <w:r>
              <w:rPr>
                <w:rFonts w:ascii="Calibri" w:hAnsi="Calibri"/>
                <w:sz w:val="22"/>
              </w:rPr>
              <w:t>No change. Mid-teens SOP growth expected; steady and incremental margin gains.</w:t>
            </w:r>
          </w:p>
        </w:tc>
      </w:tr>
      <w:tr>
        <w:tc>
          <w:tcPr>
            <w:tcW w:type="dxa" w:w="1728"/>
          </w:tcPr>
          <w:p>
            <w:r>
              <w:rPr>
                <w:rFonts w:ascii="Calibri" w:hAnsi="Calibri"/>
                <w:sz w:val="22"/>
              </w:rPr>
              <w:t>FCF Conversion (FY2026)</w:t>
            </w:r>
          </w:p>
        </w:tc>
        <w:tc>
          <w:tcPr>
            <w:tcW w:type="dxa" w:w="1728"/>
          </w:tcPr>
          <w:p>
            <w:r>
              <w:rPr>
                <w:rFonts w:ascii="Calibri" w:hAnsi="Calibri"/>
                <w:sz w:val="22"/>
              </w:rPr>
              <w:t>High end of 75–85% target range</w:t>
            </w:r>
          </w:p>
        </w:tc>
        <w:tc>
          <w:tcPr>
            <w:tcW w:type="dxa" w:w="1728"/>
          </w:tcPr>
          <w:p>
            <w:r>
              <w:rPr>
                <w:rFonts w:ascii="Calibri" w:hAnsi="Calibri"/>
                <w:sz w:val="22"/>
              </w:rPr>
              <w:t>—</w:t>
            </w:r>
          </w:p>
        </w:tc>
        <w:tc>
          <w:tcPr>
            <w:tcW w:type="dxa" w:w="1728"/>
          </w:tcPr>
          <w:p>
            <w:r>
              <w:rPr>
                <w:rFonts w:ascii="Calibri" w:hAnsi="Calibri"/>
                <w:sz w:val="22"/>
              </w:rPr>
              <w:t>$1.53B FY cons.</w:t>
            </w:r>
          </w:p>
        </w:tc>
        <w:tc>
          <w:tcPr>
            <w:tcW w:type="dxa" w:w="1728"/>
          </w:tcPr>
          <w:p>
            <w:r>
              <w:rPr>
                <w:rFonts w:ascii="Calibri" w:hAnsi="Calibri"/>
                <w:sz w:val="22"/>
              </w:rPr>
              <w:t>Unchanged. Management expects to end 2026 at high end of conversion target.</w:t>
            </w:r>
          </w:p>
        </w:tc>
      </w:tr>
      <w:tr>
        <w:tc>
          <w:tcPr>
            <w:tcW w:type="dxa" w:w="1728"/>
          </w:tcPr>
          <w:p>
            <w:r>
              <w:rPr>
                <w:rFonts w:ascii="Calibri" w:hAnsi="Calibri"/>
                <w:sz w:val="22"/>
              </w:rPr>
              <w:t>Macro Assumption</w:t>
            </w:r>
          </w:p>
        </w:tc>
        <w:tc>
          <w:tcPr>
            <w:tcW w:type="dxa" w:w="1728"/>
          </w:tcPr>
          <w:p>
            <w:r>
              <w:rPr>
                <w:rFonts w:ascii="Calibri" w:hAnsi="Calibri"/>
                <w:sz w:val="22"/>
              </w:rPr>
              <w:t>No material changes to macro or interest rate environment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Management noted some slowdown in corporate capex decisions (ex-data centers). 10-yr Treasury in 4–4.5% range seen as supportive of capital markets.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Q1 print for Q2 2026 Adj. EPS ($1.51 → $1.48, -2%), while FY2026 estimates have held essentially flat ($7.75 → $7.72, -0.4%) — suggesting the Street is not cutting numbers but is being cautious on near-term seasonality. </w:t>
      </w:r>
      <w:r>
        <w:rPr>
          <w:rFonts w:ascii="Calibri" w:hAnsi="Calibri"/>
          <w:color w:val="525866"/>
          <w:sz w:val="22"/>
        </w:rPr>
        <w:t>The gap between FY consensus ($7.72) and guidance midpoint ($7.70) is negligible (+0.3%), indicating estimates are well-anchored to guidance with limited risk of a guidance-driven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Q1 Earnings (Apr 28, 2026)</w:t>
            </w:r>
          </w:p>
        </w:tc>
        <w:tc>
          <w:tcPr>
            <w:tcW w:type="dxa" w:w="1080"/>
          </w:tcPr>
          <w:p>
            <w:r>
              <w:rPr>
                <w:rFonts w:ascii="Calibri" w:hAnsi="Calibri"/>
                <w:b/>
                <w:sz w:val="22"/>
              </w:rPr>
              <w:t>Current Consensus (Jul 28, 2026)</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b/>
                <w:sz w:val="22"/>
              </w:rPr>
              <w:t>Adj. EPS — Q2 2026</w:t>
            </w:r>
          </w:p>
        </w:tc>
        <w:tc>
          <w:tcPr>
            <w:tcW w:type="dxa" w:w="1080"/>
          </w:tcPr>
          <w:p>
            <w:r>
              <w:rPr>
                <w:rFonts w:ascii="Calibri" w:hAnsi="Calibri"/>
                <w:sz w:val="22"/>
              </w:rPr>
              <w:t>$1.51</w:t>
            </w:r>
          </w:p>
        </w:tc>
        <w:tc>
          <w:tcPr>
            <w:tcW w:type="dxa" w:w="1080"/>
          </w:tcPr>
          <w:p>
            <w:r>
              <w:rPr>
                <w:rFonts w:ascii="Calibri" w:hAnsi="Calibri"/>
                <w:sz w:val="22"/>
              </w:rPr>
              <w:t>$1.48</w:t>
            </w:r>
          </w:p>
        </w:tc>
        <w:tc>
          <w:tcPr>
            <w:tcW w:type="dxa" w:w="1080"/>
          </w:tcPr>
          <w:p>
            <w:r>
              <w:rPr>
                <w:rFonts w:ascii="Calibri" w:hAnsi="Calibri"/>
                <w:b/>
                <w:color w:val="E5484D"/>
                <w:sz w:val="22"/>
              </w:rPr>
              <w:t>-2.0%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b/>
                <w:sz w:val="22"/>
              </w:rPr>
              <w:t>Adj. EPS — FY2026</w:t>
            </w:r>
          </w:p>
        </w:tc>
        <w:tc>
          <w:tcPr>
            <w:tcW w:type="dxa" w:w="1080"/>
          </w:tcPr>
          <w:p>
            <w:r>
              <w:rPr>
                <w:rFonts w:ascii="Calibri" w:hAnsi="Calibri"/>
                <w:sz w:val="22"/>
              </w:rPr>
              <w:t>$7.75</w:t>
            </w:r>
          </w:p>
        </w:tc>
        <w:tc>
          <w:tcPr>
            <w:tcW w:type="dxa" w:w="1080"/>
          </w:tcPr>
          <w:p>
            <w:r>
              <w:rPr>
                <w:rFonts w:ascii="Calibri" w:hAnsi="Calibri"/>
                <w:sz w:val="22"/>
              </w:rPr>
              <w:t>$7.72</w:t>
            </w:r>
          </w:p>
        </w:tc>
        <w:tc>
          <w:tcPr>
            <w:tcW w:type="dxa" w:w="1080"/>
          </w:tcPr>
          <w:p>
            <w:r>
              <w:rPr>
                <w:rFonts w:ascii="Calibri" w:hAnsi="Calibri"/>
                <w:sz w:val="22"/>
              </w:rPr>
              <w:t>-0.4%</w:t>
            </w:r>
          </w:p>
        </w:tc>
        <w:tc>
          <w:tcPr>
            <w:tcW w:type="dxa" w:w="1080"/>
          </w:tcPr>
          <w:p>
            <w:r>
              <w:rPr>
                <w:rFonts w:ascii="Calibri" w:hAnsi="Calibri"/>
                <w:sz w:val="22"/>
              </w:rPr>
              <w:t>$7.60–$7.80</w:t>
            </w:r>
          </w:p>
        </w:tc>
        <w:tc>
          <w:tcPr>
            <w:tcW w:type="dxa" w:w="1080"/>
          </w:tcPr>
          <w:p>
            <w:r>
              <w:rPr>
                <w:rFonts w:ascii="Calibri" w:hAnsi="Calibri"/>
                <w:sz w:val="22"/>
              </w:rPr>
              <w:t>$7.60–$7.80 (unchanged)</w:t>
            </w:r>
          </w:p>
        </w:tc>
        <w:tc>
          <w:tcPr>
            <w:tcW w:type="dxa" w:w="1080"/>
          </w:tcPr>
          <w:p>
            <w:r>
              <w:rPr>
                <w:rFonts w:ascii="Calibri" w:hAnsi="Calibri"/>
                <w:sz w:val="22"/>
              </w:rPr>
              <w:t>0%</w:t>
            </w:r>
          </w:p>
        </w:tc>
        <w:tc>
          <w:tcPr>
            <w:tcW w:type="dxa" w:w="1080"/>
          </w:tcPr>
          <w:p>
            <w:r>
              <w:rPr>
                <w:rFonts w:ascii="Calibri" w:hAnsi="Calibri"/>
                <w:sz w:val="22"/>
              </w:rPr>
              <w:t>+0.3% vs. $7.70 midpoint</w:t>
            </w:r>
          </w:p>
        </w:tc>
      </w:tr>
      <w:tr>
        <w:tc>
          <w:tcPr>
            <w:tcW w:type="dxa" w:w="1080"/>
          </w:tcPr>
          <w:p>
            <w:r>
              <w:rPr>
                <w:rFonts w:ascii="Calibri" w:hAnsi="Calibri"/>
                <w:sz w:val="22"/>
              </w:rPr>
              <w:t>Total Revenue — Q2 2026</w:t>
            </w:r>
          </w:p>
        </w:tc>
        <w:tc>
          <w:tcPr>
            <w:tcW w:type="dxa" w:w="1080"/>
          </w:tcPr>
          <w:p>
            <w:r>
              <w:rPr>
                <w:rFonts w:ascii="Calibri" w:hAnsi="Calibri"/>
                <w:sz w:val="22"/>
              </w:rPr>
              <w:t>$11.41B</w:t>
            </w:r>
          </w:p>
        </w:tc>
        <w:tc>
          <w:tcPr>
            <w:tcW w:type="dxa" w:w="1080"/>
          </w:tcPr>
          <w:p>
            <w:r>
              <w:rPr>
                <w:rFonts w:ascii="Calibri" w:hAnsi="Calibri"/>
                <w:sz w:val="22"/>
              </w:rPr>
              <w:t>$11.24B</w:t>
            </w:r>
          </w:p>
        </w:tc>
        <w:tc>
          <w:tcPr>
            <w:tcW w:type="dxa" w:w="1080"/>
          </w:tcPr>
          <w:p>
            <w:r>
              <w:rPr>
                <w:rFonts w:ascii="Calibri" w:hAnsi="Calibri"/>
                <w:sz w:val="22"/>
              </w:rPr>
              <w:t>-1.5%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$47.19B</w:t>
            </w:r>
          </w:p>
        </w:tc>
        <w:tc>
          <w:tcPr>
            <w:tcW w:type="dxa" w:w="1080"/>
          </w:tcPr>
          <w:p>
            <w:r>
              <w:rPr>
                <w:rFonts w:ascii="Calibri" w:hAnsi="Calibri"/>
                <w:sz w:val="22"/>
              </w:rPr>
              <w:t>$46.83B</w:t>
            </w:r>
          </w:p>
        </w:tc>
        <w:tc>
          <w:tcPr>
            <w:tcW w:type="dxa" w:w="1080"/>
          </w:tcPr>
          <w:p>
            <w:r>
              <w:rPr>
                <w:rFonts w:ascii="Calibri" w:hAnsi="Calibri"/>
                <w:sz w:val="22"/>
              </w:rPr>
              <w:t>-0.8%</w:t>
            </w:r>
          </w:p>
        </w:tc>
        <w:tc>
          <w:tcPr>
            <w:tcW w:type="dxa" w:w="1080"/>
          </w:tcPr>
          <w:p>
            <w:r>
              <w:rPr>
                <w:rFonts w:ascii="Calibri" w:hAnsi="Calibri"/>
                <w:sz w:val="22"/>
              </w:rPr>
              <w:t>No formal FY rev. guidance</w:t>
            </w:r>
          </w:p>
        </w:tc>
        <w:tc>
          <w:tcPr>
            <w:tcW w:type="dxa" w:w="1080"/>
          </w:tcPr>
          <w:p>
            <w:r>
              <w:rPr>
                <w:rFonts w:ascii="Calibri" w:hAnsi="Calibri"/>
                <w:sz w:val="22"/>
              </w:rPr>
              <w:t>No formal FY rev.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$809M</w:t>
            </w:r>
          </w:p>
        </w:tc>
        <w:tc>
          <w:tcPr>
            <w:tcW w:type="dxa" w:w="1080"/>
          </w:tcPr>
          <w:p>
            <w:r>
              <w:rPr>
                <w:rFonts w:ascii="Calibri" w:hAnsi="Calibri"/>
                <w:sz w:val="22"/>
              </w:rPr>
              <w:t>$765M</w:t>
            </w:r>
          </w:p>
        </w:tc>
        <w:tc>
          <w:tcPr>
            <w:tcW w:type="dxa" w:w="1080"/>
          </w:tcPr>
          <w:p>
            <w:r>
              <w:rPr>
                <w:rFonts w:ascii="Calibri" w:hAnsi="Calibri"/>
                <w:b/>
                <w:color w:val="E5484D"/>
                <w:sz w:val="22"/>
              </w:rPr>
              <w:t>-5.4%</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$3.85B</w:t>
            </w:r>
          </w:p>
        </w:tc>
        <w:tc>
          <w:tcPr>
            <w:tcW w:type="dxa" w:w="1080"/>
          </w:tcPr>
          <w:p>
            <w:r>
              <w:rPr>
                <w:rFonts w:ascii="Calibri" w:hAnsi="Calibri"/>
                <w:sz w:val="22"/>
              </w:rPr>
              <w:t>$3.74B</w:t>
            </w:r>
          </w:p>
        </w:tc>
        <w:tc>
          <w:tcPr>
            <w:tcW w:type="dxa" w:w="1080"/>
          </w:tcPr>
          <w:p>
            <w:r>
              <w:rPr>
                <w:rFonts w:ascii="Calibri" w:hAnsi="Calibri"/>
                <w:sz w:val="22"/>
              </w:rPr>
              <w:t>-2.9%</w:t>
            </w:r>
          </w:p>
        </w:tc>
        <w:tc>
          <w:tcPr>
            <w:tcW w:type="dxa" w:w="1080"/>
          </w:tcPr>
          <w:p>
            <w:r>
              <w:rPr>
                <w:rFonts w:ascii="Calibri" w:hAnsi="Calibri"/>
                <w:sz w:val="22"/>
              </w:rPr>
              <w:t>No formal FY EBITDA guidance</w:t>
            </w:r>
          </w:p>
        </w:tc>
        <w:tc>
          <w:tcPr>
            <w:tcW w:type="dxa" w:w="1080"/>
          </w:tcPr>
          <w:p>
            <w:r>
              <w:rPr>
                <w:rFonts w:ascii="Calibri" w:hAnsi="Calibri"/>
                <w:sz w:val="22"/>
              </w:rPr>
              <w:t>No formal FY EBITDA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The modest downward drift in Q2 EBITDA estimates (-5.4%) vs. flat EPS estimates (-0.4%) likely reflects the Street modeling a slightly lower margin quarter given the absence of the land development pull-forward that boosted Q1. This is not a red flag — management guided for ~40% of FY EPS in H1, implying Q2 EPS of roughly $1.47–$1.50, consistent with current consensus.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CBRE has underperformed both the S&amp;P 500 and the IYR real estate ETF since Q1 earnings, declining ~1.5% (indexed) vs. SPY +4.6% and IYR +5.5% — the underperformance appears driven by multiple compression and macro uncertainty rather than estimate cuts, as consensus EPS has barely moved. </w:t>
      </w:r>
      <w:r>
        <w:rPr>
          <w:rFonts w:ascii="Calibri" w:hAnsi="Calibri"/>
          <w:color w:val="525866"/>
          <w:sz w:val="22"/>
        </w:rPr>
        <w:t>The stock’s recent recovery from its May trough (~$126) back toward ~$147 suggests the market is beginning to re-engage with the fundamental story ahead of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CBRE vs. IYR (iShares U.S. Real Estate ETF) vs. S&amp;P 500 (SPY) — Indexed to 100 at Q1 2026 Earnings Date (April 23, 2026). Source: Yahoo Finance / Stock Price Data.</w:t>
      </w:r>
    </w:p>
    <w:p>
      <w:r>
        <w:rPr>
          <w:rFonts w:ascii="Calibri" w:hAnsi="Calibri"/>
          <w:b/>
          <w:color w:val="525866"/>
          <w:sz w:val="22"/>
        </w:rPr>
        <w:t xml:space="preserve">Performance Summary (Apr 23 – Jul 28, 2026): </w:t>
      </w:r>
      <w:r>
        <w:rPr>
          <w:rFonts w:ascii="Calibri" w:hAnsi="Calibri"/>
          <w:color w:val="525866"/>
          <w:sz w:val="22"/>
        </w:rPr>
        <w:t xml:space="preserve">CBRE opened at $149.31 on earnings day and traded as low as ~$125 in late May before recovering to ~$147 by July 28. The S&amp;P 500 gained ~4.6% over the same period while IYR gained ~5.5%, making CBRE a notable laggard despite the strong Q1 beat. Two material events are marked: (1) </w:t>
      </w:r>
      <w:r>
        <w:rPr>
          <w:rFonts w:ascii="Calibri" w:hAnsi="Calibri"/>
          <w:b/>
          <w:color w:val="525866"/>
          <w:sz w:val="22"/>
        </w:rPr>
        <w:t>$750M Senior Notes Offering (May 4)</w:t>
      </w:r>
      <w:r>
        <w:rPr>
          <w:rFonts w:ascii="Calibri" w:hAnsi="Calibri"/>
          <w:color w:val="525866"/>
          <w:sz w:val="22"/>
        </w:rPr>
        <w:t xml:space="preserve"> — proceeds used to repay commercial paper, a routine refinancing; and (2) </w:t>
      </w:r>
      <w:r>
        <w:rPr>
          <w:rFonts w:ascii="Calibri" w:hAnsi="Calibri"/>
          <w:b/>
          <w:color w:val="525866"/>
          <w:sz w:val="22"/>
        </w:rPr>
        <w:t>$1B Revolving Credit Facility (June 23)</w:t>
      </w:r>
      <w:r>
        <w:rPr>
          <w:rFonts w:ascii="Calibri" w:hAnsi="Calibri"/>
          <w:color w:val="525866"/>
          <w:sz w:val="22"/>
        </w:rPr>
        <w:t xml:space="preserve"> — 364-day senior unsecured facility replacing the prior year’s facility, reinforcing liquidity. Neither event was a catalyst for the stock. The May sell-off appears macro-driven (broader risk-off, real estate sector weakness) rather than CBRE-specific, and the subsequent recovery aligns with improving sentiment into Q2 earnings.</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Peers reporting in the last 60 days paint a consistently bullish picture for Q2 2026 commercial real estate activity — leasing, capital markets, and data center services are all accelerating, with no signs of demand deceleration. </w:t>
      </w:r>
      <w:r>
        <w:rPr>
          <w:rFonts w:ascii="Calibri" w:hAnsi="Calibri"/>
          <w:color w:val="525866"/>
          <w:sz w:val="22"/>
        </w:rPr>
        <w:t>JLL and Cushman &amp; Wakefield both explicitly flagged continued strength into April/Q2, and Marcus &amp; Millichap’s encouraging April results validate the capital markets recovery thesis. CoStar’s Q2 2026 actual results (reported July 28) confirm the CRE data/services environment remains robust.</w:t>
      </w:r>
    </w:p>
    <w:p>
      <w:r>
        <w:rPr>
          <w:rFonts w:ascii="Calibri" w:hAnsi="Calibri"/>
          <w:b/>
          <w:color w:val="525866"/>
          <w:sz w:val="22"/>
        </w:rPr>
        <w:t xml:space="preserve">Note: </w:t>
      </w:r>
      <w:r>
        <w:rPr>
          <w:rFonts w:ascii="Calibri" w:hAnsi="Calibri"/>
          <w:i/>
          <w:color w:val="525866"/>
          <w:sz w:val="22"/>
        </w:rPr>
        <w:t>Only forward-looking commentary about Q2 2026 or the current operating environment is included below. Backward-looking Q1 2025 results commentary has been excluded.</w:t>
      </w:r>
    </w:p>
    <w:p>
      <w:pPr>
        <w:pStyle w:val="Heading3"/>
      </w:pPr>
      <w:r>
        <w:rPr>
          <w:rFonts w:ascii="Calibri" w:hAnsi="Calibri"/>
          <w:b/>
          <w:color w:val="3B4259"/>
          <w:sz w:val="24"/>
        </w:rPr>
        <w:t>JLL (Jones Lang LaSalle) — Q1 2026 Earnings Call (April 30, 2026)</w:t>
      </w:r>
    </w:p>
    <w:p>
      <w:pPr>
        <w:pStyle w:val="ListBullet"/>
        <w:ind w:left="360" w:hanging="360"/>
      </w:pPr>
      <w:r>
        <w:rPr>
          <w:rFonts w:ascii="Calibri" w:hAnsi="Calibri"/>
          <w:b/>
          <w:color w:val="525866"/>
          <w:sz w:val="22"/>
        </w:rPr>
        <w:t xml:space="preserve">Q2 Momentum Confirmed: </w:t>
      </w:r>
      <w:r>
        <w:rPr>
          <w:rFonts w:ascii="Calibri" w:hAnsi="Calibri"/>
          <w:color w:val="525866"/>
          <w:sz w:val="22"/>
        </w:rPr>
        <w:t xml:space="preserve">CEO Christian Ulbrich stated explicitly that “Capital Markets started the year with really very significant momentum across the globe… and this momentum has also continued in the second quarter.” CFO Kelly Howe added: “We are, at this point, trending towards the high end of our guidance.” </w:t>
      </w:r>
    </w:p>
    <w:p>
      <w:pPr>
        <w:pStyle w:val="ListBullet"/>
        <w:ind w:left="360" w:hanging="360"/>
      </w:pPr>
      <w:r>
        <w:rPr>
          <w:rFonts w:ascii="Calibri" w:hAnsi="Calibri"/>
          <w:b/>
          <w:color w:val="525866"/>
          <w:sz w:val="22"/>
        </w:rPr>
        <w:t xml:space="preserve">Read-Through for CBRE: </w:t>
      </w:r>
      <w:r>
        <w:rPr>
          <w:rFonts w:ascii="Calibri" w:hAnsi="Calibri"/>
          <w:color w:val="525866"/>
          <w:sz w:val="22"/>
        </w:rPr>
        <w:t>JLL’s confirmation of continued Q2 capital markets momentum is a direct positive read-through for CBRE’s Advisory Sales and Leasing lines. JLL targets low double-digit top-line growth for Capital Markets for the full year, consistent with CBRE’s own trajectory.</w:t>
      </w:r>
    </w:p>
    <w:p>
      <w:pPr>
        <w:pStyle w:val="ListBullet"/>
        <w:ind w:left="360" w:hanging="360"/>
      </w:pPr>
      <w:r>
        <w:rPr>
          <w:rFonts w:ascii="Calibri" w:hAnsi="Calibri"/>
          <w:b/>
          <w:color w:val="525866"/>
          <w:sz w:val="22"/>
        </w:rPr>
        <w:t xml:space="preserve">Leasing Pipeline Healthy: </w:t>
      </w:r>
      <w:r>
        <w:rPr>
          <w:rFonts w:ascii="Calibri" w:hAnsi="Calibri"/>
          <w:color w:val="525866"/>
          <w:sz w:val="22"/>
        </w:rPr>
        <w:t xml:space="preserve">JLL’s leasing pipeline described as “quite strong” entering Q2, with organizations “plowing forward with getting their people together.” Office demand driven by AI ecosystem companies and financial services in gateway markets (NYC, San Francisco). Industrial leasing accelerating. </w:t>
      </w:r>
    </w:p>
    <w:p>
      <w:pPr>
        <w:pStyle w:val="ListBullet"/>
        <w:ind w:left="360" w:hanging="360"/>
      </w:pPr>
      <w:r>
        <w:rPr>
          <w:rFonts w:ascii="Calibri" w:hAnsi="Calibri"/>
          <w:b/>
          <w:color w:val="525866"/>
          <w:sz w:val="22"/>
        </w:rPr>
        <w:t xml:space="preserve">Data Centers as Leasing Driver: </w:t>
      </w:r>
      <w:r>
        <w:rPr>
          <w:rFonts w:ascii="Calibri" w:hAnsi="Calibri"/>
          <w:color w:val="525866"/>
          <w:sz w:val="22"/>
        </w:rPr>
        <w:t>Data centers cited as a “meaningful contribution” to Leasing Advisory revenue growth, and new data center wins drove double-digit Project Management revenue growth. Directly validates CBRE’s data center leasing and project management thesis.</w:t>
      </w:r>
    </w:p>
    <w:p>
      <w:pPr>
        <w:pStyle w:val="ListBullet"/>
        <w:ind w:left="360" w:hanging="360"/>
      </w:pPr>
      <w:r>
        <w:rPr>
          <w:rFonts w:ascii="Calibri" w:hAnsi="Calibri"/>
          <w:b/>
          <w:color w:val="525866"/>
          <w:sz w:val="22"/>
        </w:rPr>
        <w:t xml:space="preserve">AI as Tailwind, Not Threat: </w:t>
      </w:r>
      <w:r>
        <w:rPr>
          <w:rFonts w:ascii="Calibri" w:hAnsi="Calibri"/>
          <w:color w:val="525866"/>
          <w:sz w:val="22"/>
        </w:rPr>
        <w:t>JLL CFO: “Ironically, the AI boom has actually been also a boom for our leasing business” — AI start-ups and financial services ecosystems driving uptick in coastal leasing. JLL sees 75% AI adoption internally with 25,000 employees on enterprise AI applications daily (+60% YoY). Consistent with CBRE’s view that AI is a net positive.</w:t>
      </w:r>
    </w:p>
    <w:p>
      <w:pPr>
        <w:pStyle w:val="ListBullet"/>
        <w:ind w:left="360" w:hanging="360"/>
      </w:pPr>
      <w:r>
        <w:rPr>
          <w:rFonts w:ascii="Calibri" w:hAnsi="Calibri"/>
          <w:b/>
          <w:color w:val="525866"/>
          <w:sz w:val="22"/>
        </w:rPr>
        <w:t xml:space="preserve">Macro Caution (Europe/APAC): </w:t>
      </w:r>
      <w:r>
        <w:rPr>
          <w:rFonts w:ascii="Calibri" w:hAnsi="Calibri"/>
          <w:color w:val="525866"/>
          <w:sz w:val="22"/>
        </w:rPr>
        <w:t>JLL noted some deals canceled or delayed in Europe and Asia Pacific due to geopolitical uncertainty (Middle East conflict), though U.S. market “pretty much unimpressed.” If macro headwinds persist, CBRE’s EMEA/APAC exposure could be a modest drag, though management noted similar dynamics on the Q1 call.</w:t>
      </w:r>
    </w:p>
    <w:p>
      <w:pPr>
        <w:pStyle w:val="ListBullet"/>
        <w:ind w:left="360" w:hanging="360"/>
      </w:pPr>
      <w:r>
        <w:rPr>
          <w:rFonts w:ascii="Calibri" w:hAnsi="Calibri"/>
          <w:b/>
          <w:color w:val="525866"/>
          <w:sz w:val="22"/>
        </w:rPr>
        <w:t xml:space="preserve">Full-Year Guidance: </w:t>
      </w:r>
      <w:r>
        <w:rPr>
          <w:rFonts w:ascii="Calibri" w:hAnsi="Calibri"/>
          <w:color w:val="525866"/>
          <w:sz w:val="22"/>
        </w:rPr>
        <w:t>JLL targets Adj. EPS of $21.80–$23.50 (+20% growth at midpoint) for FY2026, trending toward the high end. Workplace Management contract renewal rates stable; pipeline strong but H2-weighted.</w:t>
      </w:r>
    </w:p>
    <w:p>
      <w:pPr>
        <w:pStyle w:val="Heading3"/>
      </w:pPr>
      <w:r>
        <w:rPr>
          <w:rFonts w:ascii="Calibri" w:hAnsi="Calibri"/>
          <w:b/>
          <w:color w:val="3B4259"/>
          <w:sz w:val="24"/>
        </w:rPr>
        <w:t>Cushman &amp; Wakefield (CWK) — Q1 2026 Earnings Call (May 7, 2026)</w:t>
      </w:r>
    </w:p>
    <w:p>
      <w:pPr>
        <w:pStyle w:val="ListBullet"/>
        <w:ind w:left="360" w:hanging="360"/>
      </w:pPr>
      <w:r>
        <w:rPr>
          <w:rFonts w:ascii="Calibri" w:hAnsi="Calibri"/>
          <w:b/>
          <w:color w:val="525866"/>
          <w:sz w:val="22"/>
        </w:rPr>
        <w:t xml:space="preserve">April Strength Across All Business Lines: </w:t>
      </w:r>
      <w:r>
        <w:rPr>
          <w:rFonts w:ascii="Calibri" w:hAnsi="Calibri"/>
          <w:color w:val="525866"/>
          <w:sz w:val="22"/>
        </w:rPr>
        <w:t>CEO Michelle MacKay: “We’re still seeing significant strength in April, and that really is across every business line and segment type.” CFO Neil Johnston: “We do continue to see strong momentum in April and pipelines look good.” Strong direct read-through for CBRE’s Q2 Advisory and BOE segments.</w:t>
      </w:r>
    </w:p>
    <w:p>
      <w:pPr>
        <w:pStyle w:val="ListBullet"/>
        <w:ind w:left="360" w:hanging="360"/>
      </w:pPr>
      <w:r>
        <w:rPr>
          <w:rFonts w:ascii="Calibri" w:hAnsi="Calibri"/>
          <w:b/>
          <w:color w:val="525866"/>
          <w:sz w:val="22"/>
        </w:rPr>
        <w:t xml:space="preserve">Leasing at Record Levels: </w:t>
      </w:r>
      <w:r>
        <w:rPr>
          <w:rFonts w:ascii="Calibri" w:hAnsi="Calibri"/>
          <w:color w:val="525866"/>
          <w:sz w:val="22"/>
        </w:rPr>
        <w:t>CWK achieved its “highest first quarter revenue in company history” in leasing (+17% globally; Americas +19%). Industrial leasing described as a “consistent bright spot” with U.S. absorption up 52% YoY. Office demand “solid” with U.S. net absorption at strongest level since pandemic. Industrial leasing market now 80% larger by dollar volume than pre-pandemic.</w:t>
      </w:r>
    </w:p>
    <w:p>
      <w:pPr>
        <w:pStyle w:val="ListBullet"/>
        <w:ind w:left="360" w:hanging="360"/>
      </w:pPr>
      <w:r>
        <w:rPr>
          <w:rFonts w:ascii="Calibri" w:hAnsi="Calibri"/>
          <w:b/>
          <w:color w:val="525866"/>
          <w:sz w:val="22"/>
        </w:rPr>
        <w:t xml:space="preserve">Capital Markets: Sixth Consecutive Quarter of Double-Digit Growth: </w:t>
      </w:r>
      <w:r>
        <w:rPr>
          <w:rFonts w:ascii="Calibri" w:hAnsi="Calibri"/>
          <w:color w:val="525866"/>
          <w:sz w:val="22"/>
        </w:rPr>
        <w:t>CWK delivered 14% global Capital Markets growth in Q1, with Americas up 22% and institutional client revenues up 32%. Office capital markets up 11% globally; industrial up 25%. Validates the broad-based capital markets recovery CBRE is also experiencing.</w:t>
      </w:r>
    </w:p>
    <w:p>
      <w:pPr>
        <w:pStyle w:val="ListBullet"/>
        <w:ind w:left="360" w:hanging="360"/>
      </w:pPr>
      <w:r>
        <w:rPr>
          <w:rFonts w:ascii="Calibri" w:hAnsi="Calibri"/>
          <w:b/>
          <w:color w:val="525866"/>
          <w:sz w:val="22"/>
        </w:rPr>
        <w:t xml:space="preserve">Data Centers — Global Expansion: </w:t>
      </w:r>
      <w:r>
        <w:rPr>
          <w:rFonts w:ascii="Calibri" w:hAnsi="Calibri"/>
          <w:color w:val="525866"/>
          <w:sz w:val="22"/>
        </w:rPr>
        <w:t>AI described as a “structural tailwind” supporting leasing and fueling data center services growth. CWK has 50 technical advisory data center projects underway in APAC and recently won a 5-year project management mandate with a blue-chip tech firm in the Americas. CWK research projects AI will drive 330 million additional sq ft of demand over the next decade. Positive read-through for CBRE’s Critical Infrastructure Services growth.</w:t>
      </w:r>
    </w:p>
    <w:p>
      <w:pPr>
        <w:pStyle w:val="ListBullet"/>
        <w:ind w:left="360" w:hanging="360"/>
      </w:pPr>
      <w:r>
        <w:rPr>
          <w:rFonts w:ascii="Calibri" w:hAnsi="Calibri"/>
          <w:b/>
          <w:color w:val="525866"/>
          <w:sz w:val="22"/>
        </w:rPr>
        <w:t xml:space="preserve">Full-Year Guidance Maintained: </w:t>
      </w:r>
      <w:r>
        <w:rPr>
          <w:rFonts w:ascii="Calibri" w:hAnsi="Calibri"/>
          <w:color w:val="525866"/>
          <w:sz w:val="22"/>
        </w:rPr>
        <w:t>CWK reaffirmed FY2026 guidance of 6–8% revenue growth and 15–20% Adj. EPS growth, with ~150 bps of margin expansion over the 3-year plan. Confidence in achieving targets described as “very confident.”</w:t>
      </w:r>
    </w:p>
    <w:p>
      <w:pPr>
        <w:pStyle w:val="ListBullet"/>
        <w:ind w:left="360" w:hanging="360"/>
      </w:pPr>
      <w:r>
        <w:rPr>
          <w:rFonts w:ascii="Calibri" w:hAnsi="Calibri"/>
          <w:b/>
          <w:color w:val="525866"/>
          <w:sz w:val="22"/>
        </w:rPr>
        <w:t xml:space="preserve">Facilities Management: </w:t>
      </w:r>
      <w:r>
        <w:rPr>
          <w:rFonts w:ascii="Calibri" w:hAnsi="Calibri"/>
          <w:color w:val="525866"/>
          <w:sz w:val="22"/>
        </w:rPr>
        <w:t>Global Occupier Services (enterprise outsourcing) described as a “real bright spot” with notable new wins. Americas facilities management benefiting from new business wins and expanded mandates. Consistent with CBRE’s BOE Americas local FM growth narrative.</w:t>
      </w:r>
    </w:p>
    <w:p>
      <w:pPr>
        <w:pStyle w:val="Heading3"/>
      </w:pPr>
      <w:r>
        <w:rPr>
          <w:rFonts w:ascii="Calibri" w:hAnsi="Calibri"/>
          <w:b/>
          <w:color w:val="3B4259"/>
          <w:sz w:val="24"/>
        </w:rPr>
        <w:t>Marcus &amp; Millichap (MMI) — Q1 2026 Earnings Call (May 7, 2026)</w:t>
      </w:r>
    </w:p>
    <w:p>
      <w:pPr>
        <w:pStyle w:val="ListBullet"/>
        <w:ind w:left="360" w:hanging="360"/>
      </w:pPr>
      <w:r>
        <w:rPr>
          <w:rFonts w:ascii="Calibri" w:hAnsi="Calibri"/>
          <w:b/>
          <w:color w:val="525866"/>
          <w:sz w:val="22"/>
        </w:rPr>
        <w:t xml:space="preserve">Q2 Revenue Expected to Improve YoY: </w:t>
      </w:r>
      <w:r>
        <w:rPr>
          <w:rFonts w:ascii="Calibri" w:hAnsi="Calibri"/>
          <w:color w:val="525866"/>
          <w:sz w:val="22"/>
        </w:rPr>
        <w:t>Management guided for “continued year-over-year revenue improvement” in Q2, building on Q1 momentum, with sequential increase reflecting normal seasonality as transaction volume builds through the year. April results described as “encouraging.”</w:t>
      </w:r>
    </w:p>
    <w:p>
      <w:pPr>
        <w:pStyle w:val="ListBullet"/>
        <w:ind w:left="360" w:hanging="360"/>
      </w:pPr>
      <w:r>
        <w:rPr>
          <w:rFonts w:ascii="Calibri" w:hAnsi="Calibri"/>
          <w:b/>
          <w:color w:val="525866"/>
          <w:sz w:val="22"/>
        </w:rPr>
        <w:t xml:space="preserve">Bid-Ask Spread Narrowing — Capital Markets Recovery Intact: </w:t>
      </w:r>
      <w:r>
        <w:rPr>
          <w:rFonts w:ascii="Calibri" w:hAnsi="Calibri"/>
          <w:color w:val="525866"/>
          <w:sz w:val="22"/>
        </w:rPr>
        <w:t>MMI highlighted “broader acceptance by sellers that current interest rate levels represent the new normal,” forcing more realistic valuations. Banks and credit unions returning to the market as active lenders. Pent-up demand for transactions “trumping interest rate volatility.” This validates CBRE’s capital markets recovery thesis and supports Advisory Sales growth in Q2.</w:t>
      </w:r>
    </w:p>
    <w:p>
      <w:pPr>
        <w:pStyle w:val="ListBullet"/>
        <w:ind w:left="360" w:hanging="360"/>
      </w:pPr>
      <w:r>
        <w:rPr>
          <w:rFonts w:ascii="Calibri" w:hAnsi="Calibri"/>
          <w:b/>
          <w:color w:val="525866"/>
          <w:sz w:val="22"/>
        </w:rPr>
        <w:t xml:space="preserve">Office Transactions at Multi-Year Highs: </w:t>
      </w:r>
      <w:r>
        <w:rPr>
          <w:rFonts w:ascii="Calibri" w:hAnsi="Calibri"/>
          <w:color w:val="525866"/>
          <w:sz w:val="22"/>
        </w:rPr>
        <w:t>Office transactions delivered “the largest gains in several years” driven by price resets and improving space demand from return-to-office mandates. Consistent with CBRE’s office leasing strength narrative.</w:t>
      </w:r>
    </w:p>
    <w:p>
      <w:pPr>
        <w:pStyle w:val="ListBullet"/>
        <w:ind w:left="360" w:hanging="360"/>
      </w:pPr>
      <w:r>
        <w:rPr>
          <w:rFonts w:ascii="Calibri" w:hAnsi="Calibri"/>
          <w:b/>
          <w:color w:val="525866"/>
          <w:sz w:val="22"/>
        </w:rPr>
        <w:t xml:space="preserve">Financing Business Surging: </w:t>
      </w:r>
      <w:r>
        <w:rPr>
          <w:rFonts w:ascii="Calibri" w:hAnsi="Calibri"/>
          <w:color w:val="525866"/>
          <w:sz w:val="22"/>
        </w:rPr>
        <w:t>MMI’s financing revenue grew 48% in Q1 with volume up 60%. Acquisition financing now 61% of originations (up from 50% a year ago), signaling buyers are transacting rather than waiting. Positive read-through for CBRE’s mortgage origination line.</w:t>
      </w:r>
    </w:p>
    <w:p>
      <w:pPr>
        <w:pStyle w:val="ListBullet"/>
        <w:ind w:left="360" w:hanging="360"/>
      </w:pPr>
      <w:r>
        <w:rPr>
          <w:rFonts w:ascii="Calibri" w:hAnsi="Calibri"/>
          <w:b/>
          <w:color w:val="525866"/>
          <w:sz w:val="22"/>
        </w:rPr>
        <w:t xml:space="preserve">Macro Caution Noted: </w:t>
      </w:r>
      <w:r>
        <w:rPr>
          <w:rFonts w:ascii="Calibri" w:hAnsi="Calibri"/>
          <w:color w:val="525866"/>
          <w:sz w:val="22"/>
        </w:rPr>
        <w:t>Management “remains mindful of geopolitical and macroeconomic variables which could moderate the pace of activity.” Cost of services guided at 62–63.5% of revenue in Q2. Not a red flag, but a reminder that smaller-deal capital markets can be more rate-sensitive than CBRE’s institutional business.</w:t>
      </w:r>
    </w:p>
    <w:p>
      <w:pPr>
        <w:pStyle w:val="Heading3"/>
      </w:pPr>
      <w:r>
        <w:rPr>
          <w:rFonts w:ascii="Calibri" w:hAnsi="Calibri"/>
          <w:b/>
          <w:color w:val="3B4259"/>
          <w:sz w:val="24"/>
        </w:rPr>
        <w:t>CoStar Group (CSGP) — Q2 2026 Earnings (Reported July 28, 2026)</w:t>
      </w:r>
    </w:p>
    <w:p>
      <w:pPr>
        <w:pStyle w:val="ListBullet"/>
        <w:ind w:left="360" w:hanging="360"/>
      </w:pPr>
      <w:r>
        <w:rPr>
          <w:rFonts w:ascii="Calibri" w:hAnsi="Calibri"/>
          <w:b/>
          <w:color w:val="525866"/>
          <w:sz w:val="22"/>
        </w:rPr>
        <w:t xml:space="preserve">CRE Data/Services Environment Robust: </w:t>
      </w:r>
      <w:r>
        <w:rPr>
          <w:rFonts w:ascii="Calibri" w:hAnsi="Calibri"/>
          <w:color w:val="525866"/>
          <w:sz w:val="22"/>
        </w:rPr>
        <w:t>CoStar reported Q2 2026 revenue of $925M (+18% YoY), its 61st consecutive quarter of double-digit revenue growth. Commercial real estate business generated $481M (+8% YoY) with a 36% Adj. EBITDA margin. CoStar platform subscribers grew 19% YoY to 327,000, with net new bookings to brokers up 48% YoY. A healthy broker/subscriber base is a leading indicator of CRE transaction activity — positive for CBRE’s Advisory business.</w:t>
      </w:r>
    </w:p>
    <w:p>
      <w:pPr>
        <w:pStyle w:val="ListBullet"/>
        <w:ind w:left="360" w:hanging="360"/>
      </w:pPr>
      <w:r>
        <w:rPr>
          <w:rFonts w:ascii="Calibri" w:hAnsi="Calibri"/>
          <w:b/>
          <w:color w:val="525866"/>
          <w:sz w:val="22"/>
        </w:rPr>
        <w:t xml:space="preserve">CoStar Debt Solutions — Best Quarter Ever: </w:t>
      </w:r>
      <w:r>
        <w:rPr>
          <w:rFonts w:ascii="Calibri" w:hAnsi="Calibri"/>
          <w:color w:val="525866"/>
          <w:sz w:val="22"/>
        </w:rPr>
        <w:t>Net new monthly bookings up 96% YoY, with 300 lender clients contributing data on $1.2T+ in outstanding loans. Signals lenders are actively engaged in the CRE debt market — a positive read-through for CBRE’s mortgage origination and loan servicing businesses.</w:t>
      </w:r>
    </w:p>
    <w:p>
      <w:pPr>
        <w:pStyle w:val="ListBullet"/>
        <w:ind w:left="360" w:hanging="360"/>
      </w:pPr>
      <w:r>
        <w:rPr>
          <w:rFonts w:ascii="Calibri" w:hAnsi="Calibri"/>
          <w:b/>
          <w:color w:val="525866"/>
          <w:sz w:val="22"/>
        </w:rPr>
        <w:t xml:space="preserve">Multifamily Market Stressed but Stabilizing: </w:t>
      </w:r>
      <w:r>
        <w:rPr>
          <w:rFonts w:ascii="Calibri" w:hAnsi="Calibri"/>
          <w:color w:val="525866"/>
          <w:sz w:val="22"/>
        </w:rPr>
        <w:t>U.S. multifamily market “stressed” due to elevated supply, with concessions widespread (~40% of communities offering incentives). However, 2026 deliveries projected to decline 23%, which should help vacancy drift lower. Mixed read-through for CBRE’s multifamily leasing and capital markets — near-term headwind but improving supply/demand dynamics.</w:t>
      </w:r>
    </w:p>
    <w:p>
      <w:pPr>
        <w:pStyle w:val="ListBullet"/>
        <w:ind w:left="360" w:hanging="360"/>
      </w:pPr>
      <w:r>
        <w:rPr>
          <w:rFonts w:ascii="Calibri" w:hAnsi="Calibri"/>
          <w:b/>
          <w:color w:val="525866"/>
          <w:sz w:val="22"/>
        </w:rPr>
        <w:t xml:space="preserve">AI Driving CRE Demand: </w:t>
      </w:r>
      <w:r>
        <w:rPr>
          <w:rFonts w:ascii="Calibri" w:hAnsi="Calibri"/>
          <w:color w:val="525866"/>
          <w:sz w:val="22"/>
        </w:rPr>
        <w:t>CoStar launched AI-powered lease abstraction and new data products (CoStar Rent Benchmark from 4M AI-abstracted leases). AI ecosystem companies driving leasing demand in office and industrial. Consistent with CBRE’s view that AI is a structural tailwind for CRE services.</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CoStar raised FY2026 Adj. EBITDA guidance to $780–$820M (midpoint +$30M vs. February guidance) and confirmed Adj. EPS of $1.32–$1.39. Expense base reduced by ~$100M. Signals disciplined cost management in the CRE data/services sector.</w:t>
      </w:r>
    </w:p>
    <w:p>
      <w:r>
        <w:rPr>
          <w:rFonts w:ascii="Calibri" w:hAnsi="Calibri"/>
          <w:b/>
          <w:color w:val="525866"/>
          <w:sz w:val="22"/>
        </w:rPr>
        <w:t xml:space="preserve">Overall Peer Read-Through Assessment: </w:t>
      </w:r>
      <w:r>
        <w:rPr>
          <w:rFonts w:ascii="Calibri" w:hAnsi="Calibri"/>
          <w:color w:val="525866"/>
          <w:sz w:val="22"/>
        </w:rPr>
        <w:t>The peer commentary is uniformly constructive for CBRE’s Q2 2026 print. All three CRE services peers (JLL, CWK, MMI) confirmed continued strength in April/Q2 across leasing, capital markets, and facilities management. CoStar’s actual Q2 results validate the CRE data environment. The only consistent caution is geopolitical uncertainty (Middle East) creating some EMEA/APAC deal delays — a risk CBRE management already flagged on the Q1 call. Data center demand remains unambiguously strong across all peers.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$750M senior notes offering (May 4)</w:t>
      </w:r>
      <w:r>
        <w:rPr>
          <w:rFonts w:ascii="Calibri" w:hAnsi="Calibri"/>
          <w:color w:val="525866"/>
          <w:sz w:val="22"/>
        </w:rPr>
        <w:t xml:space="preserve"> and the </w:t>
      </w:r>
      <w:r>
        <w:rPr>
          <w:rFonts w:ascii="Calibri" w:hAnsi="Calibri"/>
          <w:b/>
          <w:color w:val="525866"/>
          <w:sz w:val="22"/>
        </w:rPr>
        <w:t>$1B revolving credit facility renewal (June 23)</w:t>
      </w:r>
      <w:r>
        <w:rPr>
          <w:rFonts w:ascii="Calibri" w:hAnsi="Calibri"/>
          <w:color w:val="525866"/>
          <w:sz w:val="22"/>
        </w:rPr>
        <w:t xml:space="preserve"> — together these signal proactive balance sheet management and ample liquidity heading into what management expects to be a strong H2 2026, with no implications for the earnings print itself.</w:t>
      </w:r>
    </w:p>
    <w:p>
      <w:pPr>
        <w:pStyle w:val="ListBullet"/>
        <w:ind w:left="360" w:hanging="360"/>
      </w:pPr>
      <w:r>
        <w:rPr>
          <w:rFonts w:ascii="Calibri" w:hAnsi="Calibri"/>
          <w:b/>
          <w:color w:val="525866"/>
          <w:sz w:val="22"/>
        </w:rPr>
        <w:t xml:space="preserve">May 4, 2026 — $750M Senior Notes Offering (5.250%, due 2036): </w:t>
      </w:r>
      <w:r>
        <w:rPr>
          <w:rFonts w:ascii="Calibri" w:hAnsi="Calibri"/>
          <w:color w:val="525866"/>
          <w:sz w:val="22"/>
        </w:rPr>
        <w:t xml:space="preserve">CBRE Services, Inc. completed a $750M senior unsecured notes offering at 5.250% due June 2036. Proceeds used to repay commercial paper borrowings. Routine refinancing that extends debt maturity profile and locks in fixed-rate funding. </w:t>
      </w:r>
      <w:r>
        <w:rPr>
          <w:rFonts w:ascii="Calibri" w:hAnsi="Calibri"/>
          <w:b/>
          <w:color w:val="525866"/>
          <w:sz w:val="22"/>
        </w:rPr>
        <w:t xml:space="preserve">Implication: </w:t>
      </w:r>
      <w:r>
        <w:rPr>
          <w:rFonts w:ascii="Calibri" w:hAnsi="Calibri"/>
          <w:color w:val="525866"/>
          <w:sz w:val="22"/>
        </w:rPr>
        <w:t>No earnings impact; positive for balance sheet stability and signals management’s confidence in long-term cash flow generation.</w:t>
      </w:r>
    </w:p>
    <w:p>
      <w:pPr>
        <w:pStyle w:val="ListBullet"/>
        <w:ind w:left="360" w:hanging="360"/>
      </w:pPr>
      <w:r>
        <w:rPr>
          <w:rFonts w:ascii="Calibri" w:hAnsi="Calibri"/>
          <w:b/>
          <w:color w:val="525866"/>
          <w:sz w:val="22"/>
        </w:rPr>
        <w:t xml:space="preserve">June 23, 2026 — $1B Revolving Credit Facility Renewal: </w:t>
      </w:r>
      <w:r>
        <w:rPr>
          <w:rFonts w:ascii="Calibri" w:hAnsi="Calibri"/>
          <w:color w:val="525866"/>
          <w:sz w:val="22"/>
        </w:rPr>
        <w:t xml:space="preserve">CBRE entered a new 364-day senior unsecured revolving credit agreement (replacing the prior facility expiring June 23, 2026) with Wells Fargo as administrative agent. Facility size: $1B, maturing June 22, 2027. Interest at Term SOFR + 0.645–1.125% depending on credit rating. </w:t>
      </w:r>
      <w:r>
        <w:rPr>
          <w:rFonts w:ascii="Calibri" w:hAnsi="Calibri"/>
          <w:b/>
          <w:color w:val="525866"/>
          <w:sz w:val="22"/>
        </w:rPr>
        <w:t xml:space="preserve">Implication: </w:t>
      </w:r>
      <w:r>
        <w:rPr>
          <w:rFonts w:ascii="Calibri" w:hAnsi="Calibri"/>
          <w:color w:val="525866"/>
          <w:sz w:val="22"/>
        </w:rPr>
        <w:t>Maintains full liquidity backstop; no change to earnings outlook. Demonstrates continued strong bank relationships.</w:t>
      </w:r>
    </w:p>
    <w:p>
      <w:pPr>
        <w:pStyle w:val="ListBullet"/>
        <w:ind w:left="360" w:hanging="360"/>
      </w:pPr>
      <w:r>
        <w:rPr>
          <w:rFonts w:ascii="Calibri" w:hAnsi="Calibri"/>
          <w:b/>
          <w:color w:val="525866"/>
          <w:sz w:val="22"/>
        </w:rPr>
        <w:t xml:space="preserve">June 29, 2026 — Q2 2026 Earnings Call Details Announced: </w:t>
      </w:r>
      <w:r>
        <w:rPr>
          <w:rFonts w:ascii="Calibri" w:hAnsi="Calibri"/>
          <w:color w:val="525866"/>
          <w:sz w:val="22"/>
        </w:rPr>
        <w:t>CBRE announced details of its Q2 2026 earnings release and conference call, confirming the upcoming print. No financial information disclosed.</w:t>
      </w:r>
    </w:p>
    <w:p>
      <w:pPr>
        <w:pStyle w:val="ListBullet"/>
        <w:ind w:left="360" w:hanging="360"/>
      </w:pPr>
      <w:r>
        <w:rPr>
          <w:rFonts w:ascii="Calibri" w:hAnsi="Calibri"/>
          <w:b/>
          <w:color w:val="525866"/>
          <w:sz w:val="22"/>
        </w:rPr>
        <w:t xml:space="preserve">April 23, 2026 — Q1 2026 Earnings Beat &amp; FY2026 Guidance Raise: </w:t>
      </w:r>
      <w:r>
        <w:rPr>
          <w:rFonts w:ascii="Calibri" w:hAnsi="Calibri"/>
          <w:color w:val="525866"/>
          <w:sz w:val="22"/>
        </w:rPr>
        <w:t xml:space="preserve">CBRE reported Q1 2026 Adj. EPS of $1.61 vs. consensus of $1.14 (+41% beat). FY2026 core EPS guidance raised to $7.60–$7.80 from $7.30–$7.60. Critical Infrastructure Services generated $580M in Q1 alone. Data center leasing revenue more than tripled YoY. U.S. property sales revenue surged 64%. </w:t>
      </w:r>
      <w:r>
        <w:rPr>
          <w:rFonts w:ascii="Calibri" w:hAnsi="Calibri"/>
          <w:b/>
          <w:color w:val="525866"/>
          <w:sz w:val="22"/>
        </w:rPr>
        <w:t xml:space="preserve">Implication: </w:t>
      </w:r>
      <w:r>
        <w:rPr>
          <w:rFonts w:ascii="Calibri" w:hAnsi="Calibri"/>
          <w:color w:val="525866"/>
          <w:sz w:val="22"/>
        </w:rPr>
        <w:t>Sets a high bar for Q2 but management’s confidence in H2 pipeline is the key driver of the guidance raise.</w:t>
      </w:r>
    </w:p>
    <w:p>
      <w:pPr>
        <w:pStyle w:val="ListBullet"/>
        <w:ind w:left="360" w:hanging="360"/>
      </w:pPr>
      <w:r>
        <w:rPr>
          <w:rFonts w:ascii="Calibri" w:hAnsi="Calibri"/>
          <w:b/>
          <w:color w:val="525866"/>
          <w:sz w:val="22"/>
        </w:rPr>
        <w:t xml:space="preserve">Ongoing — Data Center Pipeline Expansion: </w:t>
      </w:r>
      <w:r>
        <w:rPr>
          <w:rFonts w:ascii="Calibri" w:hAnsi="Calibri"/>
          <w:color w:val="525866"/>
          <w:sz w:val="22"/>
        </w:rPr>
        <w:t xml:space="preserve">CBRE has secured dozens of potential data center land sites across the U.S. and is working with hyperscalers to entitle and prepare sites. Partnership with Meta to recruit, train, and place technical workers for data center operations. Critical Infrastructure Services expected to grow &gt;60% in FY2026. </w:t>
      </w:r>
      <w:r>
        <w:rPr>
          <w:rFonts w:ascii="Calibri" w:hAnsi="Calibri"/>
          <w:b/>
          <w:color w:val="525866"/>
          <w:sz w:val="22"/>
        </w:rPr>
        <w:t xml:space="preserve">Implication: </w:t>
      </w:r>
      <w:r>
        <w:rPr>
          <w:rFonts w:ascii="Calibri" w:hAnsi="Calibri"/>
          <w:color w:val="525866"/>
          <w:sz w:val="22"/>
        </w:rPr>
        <w:t>Secular tailwind with multi-year visibility; key upside driver for BOE segment margins.</w:t>
      </w:r>
    </w:p>
    <w:p>
      <w:pPr>
        <w:pStyle w:val="ListBullet"/>
        <w:ind w:left="360" w:hanging="360"/>
      </w:pPr>
      <w:r>
        <w:rPr>
          <w:rFonts w:ascii="Calibri" w:hAnsi="Calibri"/>
          <w:b/>
          <w:color w:val="525866"/>
          <w:sz w:val="22"/>
        </w:rPr>
        <w:t xml:space="preserve">Ongoing — Industrious (Flexible Workspace) Exceeding Expectations: </w:t>
      </w:r>
      <w:r>
        <w:rPr>
          <w:rFonts w:ascii="Calibri" w:hAnsi="Calibri"/>
          <w:color w:val="525866"/>
          <w:sz w:val="22"/>
        </w:rPr>
        <w:t xml:space="preserve">Management noted Industrious is exceeding expectations on unit additions with strong demand from both corporates and SMBs. </w:t>
      </w:r>
      <w:r>
        <w:rPr>
          <w:rFonts w:ascii="Calibri" w:hAnsi="Calibri"/>
          <w:b/>
          <w:color w:val="525866"/>
          <w:sz w:val="22"/>
        </w:rPr>
        <w:t xml:space="preserve">Implication: </w:t>
      </w:r>
      <w:r>
        <w:rPr>
          <w:rFonts w:ascii="Calibri" w:hAnsi="Calibri"/>
          <w:color w:val="525866"/>
          <w:sz w:val="22"/>
        </w:rPr>
        <w:t>Incremental positive for Advisory Services revenue; validates the flexible workspace thesis.</w:t>
      </w:r>
    </w:p>
    <w:p>
      <w:pPr>
        <w:pStyle w:val="ListBullet"/>
        <w:ind w:left="360" w:hanging="360"/>
      </w:pPr>
      <w:r>
        <w:rPr>
          <w:rFonts w:ascii="Calibri" w:hAnsi="Calibri"/>
          <w:b/>
          <w:color w:val="525866"/>
          <w:sz w:val="22"/>
        </w:rPr>
        <w:t xml:space="preserve">Ongoing — Macro Watch: 10-Year Treasury Rate: </w:t>
      </w:r>
      <w:r>
        <w:rPr>
          <w:rFonts w:ascii="Calibri" w:hAnsi="Calibri"/>
          <w:color w:val="525866"/>
          <w:sz w:val="22"/>
        </w:rPr>
        <w:t xml:space="preserve">Management noted that as long as the 10-year Treasury remains in the 4–4.5% range, sales activity and loan origination continue to grow. Any spike above this range would be a headwind to capital markets activity. </w:t>
      </w:r>
      <w:r>
        <w:rPr>
          <w:rFonts w:ascii="Calibri" w:hAnsi="Calibri"/>
          <w:b/>
          <w:color w:val="525866"/>
          <w:sz w:val="22"/>
        </w:rPr>
        <w:t xml:space="preserve">Implication: </w:t>
      </w:r>
      <w:r>
        <w:rPr>
          <w:rFonts w:ascii="Calibri" w:hAnsi="Calibri"/>
          <w:color w:val="525866"/>
          <w:sz w:val="22"/>
        </w:rPr>
        <w:t>Key macro variable to monitor; current rate environment appears supportive.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discretionary buys or sells stand out as a signal — the only open-market sale (CFO Giamartino, May 15) was a 10b5-1 planned sale, and all other transactions are routine director equity awards or tax-withholding dispositions. </w:t>
      </w:r>
      <w:r>
        <w:rPr>
          <w:rFonts w:ascii="Calibri" w:hAnsi="Calibri"/>
          <w:color w:val="525866"/>
          <w:sz w:val="22"/>
        </w:rPr>
        <w:t>The absence of discretionary insider selling at current price levels is mildly constructive.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Emma E. Giamartino</w:t>
            </w:r>
          </w:p>
        </w:tc>
        <w:tc>
          <w:tcPr>
            <w:tcW w:type="dxa" w:w="1440"/>
          </w:tcPr>
          <w:p>
            <w:r>
              <w:rPr>
                <w:rFonts w:ascii="Calibri" w:hAnsi="Calibri"/>
                <w:sz w:val="22"/>
              </w:rPr>
              <w:t>CFO &amp; Chief Investment Officer</w:t>
            </w:r>
          </w:p>
        </w:tc>
        <w:tc>
          <w:tcPr>
            <w:tcW w:type="dxa" w:w="1440"/>
          </w:tcPr>
          <w:p>
            <w:r>
              <w:rPr>
                <w:rFonts w:ascii="Calibri" w:hAnsi="Calibri"/>
                <w:sz w:val="22"/>
              </w:rPr>
              <w:t>Open Market Sale (10b5-1)</w:t>
            </w:r>
          </w:p>
        </w:tc>
        <w:tc>
          <w:tcPr>
            <w:tcW w:type="dxa" w:w="1440"/>
          </w:tcPr>
          <w:p>
            <w:r>
              <w:rPr>
                <w:rFonts w:ascii="Calibri" w:hAnsi="Calibri"/>
                <w:sz w:val="22"/>
              </w:rPr>
              <w:t>2,250 shares</w:t>
            </w:r>
          </w:p>
        </w:tc>
        <w:tc>
          <w:tcPr>
            <w:tcW w:type="dxa" w:w="1440"/>
          </w:tcPr>
          <w:p>
            <w:r>
              <w:rPr>
                <w:rFonts w:ascii="Calibri" w:hAnsi="Calibri"/>
                <w:sz w:val="22"/>
              </w:rPr>
              <w:t>May 15, 2026</w:t>
            </w:r>
          </w:p>
        </w:tc>
        <w:tc>
          <w:tcPr>
            <w:tcW w:type="dxa" w:w="1440"/>
          </w:tcPr>
          <w:p>
            <w:r>
              <w:rPr>
                <w:rFonts w:ascii="Calibri" w:hAnsi="Calibri"/>
                <w:sz w:val="22"/>
              </w:rPr>
              <w:t>10b5-1 planned sale; pre-scheduled, not discretionary. Not a signal.</w:t>
            </w:r>
          </w:p>
        </w:tc>
      </w:tr>
      <w:tr>
        <w:tc>
          <w:tcPr>
            <w:tcW w:type="dxa" w:w="1440"/>
          </w:tcPr>
          <w:p>
            <w:r>
              <w:rPr>
                <w:rFonts w:ascii="Calibri" w:hAnsi="Calibri"/>
                <w:sz w:val="22"/>
              </w:rPr>
              <w:t>Chad J. Doellinger</w:t>
            </w:r>
          </w:p>
        </w:tc>
        <w:tc>
          <w:tcPr>
            <w:tcW w:type="dxa" w:w="1440"/>
          </w:tcPr>
          <w:p>
            <w:r>
              <w:rPr>
                <w:rFonts w:ascii="Calibri" w:hAnsi="Calibri"/>
                <w:sz w:val="22"/>
              </w:rPr>
              <w:t>Chief Legal &amp; Admin. Officer</w:t>
            </w:r>
          </w:p>
        </w:tc>
        <w:tc>
          <w:tcPr>
            <w:tcW w:type="dxa" w:w="1440"/>
          </w:tcPr>
          <w:p>
            <w:r>
              <w:rPr>
                <w:rFonts w:ascii="Calibri" w:hAnsi="Calibri"/>
                <w:sz w:val="22"/>
              </w:rPr>
              <w:t>Tax Withholding Disposition (F)</w:t>
            </w:r>
          </w:p>
        </w:tc>
        <w:tc>
          <w:tcPr>
            <w:tcW w:type="dxa" w:w="1440"/>
          </w:tcPr>
          <w:p>
            <w:r>
              <w:rPr>
                <w:rFonts w:ascii="Calibri" w:hAnsi="Calibri"/>
                <w:sz w:val="22"/>
              </w:rPr>
              <w:t>290 shares</w:t>
            </w:r>
          </w:p>
        </w:tc>
        <w:tc>
          <w:tcPr>
            <w:tcW w:type="dxa" w:w="1440"/>
          </w:tcPr>
          <w:p>
            <w:r>
              <w:rPr>
                <w:rFonts w:ascii="Calibri" w:hAnsi="Calibri"/>
                <w:sz w:val="22"/>
              </w:rPr>
              <w:t>May 1, 2026</w:t>
            </w:r>
          </w:p>
        </w:tc>
        <w:tc>
          <w:tcPr>
            <w:tcW w:type="dxa" w:w="1440"/>
          </w:tcPr>
          <w:p>
            <w:r>
              <w:rPr>
                <w:rFonts w:ascii="Calibri" w:hAnsi="Calibri"/>
                <w:sz w:val="22"/>
              </w:rPr>
              <w:t>Shares withheld for tax on vesting; obligation-driven, not discretionary.</w:t>
            </w:r>
          </w:p>
        </w:tc>
      </w:tr>
      <w:tr>
        <w:tc>
          <w:tcPr>
            <w:tcW w:type="dxa" w:w="1440"/>
          </w:tcPr>
          <w:p>
            <w:r>
              <w:rPr>
                <w:rFonts w:ascii="Calibri" w:hAnsi="Calibri"/>
                <w:sz w:val="22"/>
              </w:rPr>
              <w:t>Chad J. Doellinger</w:t>
            </w:r>
          </w:p>
        </w:tc>
        <w:tc>
          <w:tcPr>
            <w:tcW w:type="dxa" w:w="1440"/>
          </w:tcPr>
          <w:p>
            <w:r>
              <w:rPr>
                <w:rFonts w:ascii="Calibri" w:hAnsi="Calibri"/>
                <w:sz w:val="22"/>
              </w:rPr>
              <w:t>Chief Legal &amp; Admin. Officer</w:t>
            </w:r>
          </w:p>
        </w:tc>
        <w:tc>
          <w:tcPr>
            <w:tcW w:type="dxa" w:w="1440"/>
          </w:tcPr>
          <w:p>
            <w:r>
              <w:rPr>
                <w:rFonts w:ascii="Calibri" w:hAnsi="Calibri"/>
                <w:sz w:val="22"/>
              </w:rPr>
              <w:t>Open Market Sale (10b5-1)</w:t>
            </w:r>
          </w:p>
        </w:tc>
        <w:tc>
          <w:tcPr>
            <w:tcW w:type="dxa" w:w="1440"/>
          </w:tcPr>
          <w:p>
            <w:r>
              <w:rPr>
                <w:rFonts w:ascii="Calibri" w:hAnsi="Calibri"/>
                <w:sz w:val="22"/>
              </w:rPr>
              <w:t>107 shares</w:t>
            </w:r>
          </w:p>
        </w:tc>
        <w:tc>
          <w:tcPr>
            <w:tcW w:type="dxa" w:w="1440"/>
          </w:tcPr>
          <w:p>
            <w:r>
              <w:rPr>
                <w:rFonts w:ascii="Calibri" w:hAnsi="Calibri"/>
                <w:sz w:val="22"/>
              </w:rPr>
              <w:t>May 5, 2026</w:t>
            </w:r>
          </w:p>
        </w:tc>
        <w:tc>
          <w:tcPr>
            <w:tcW w:type="dxa" w:w="1440"/>
          </w:tcPr>
          <w:p>
            <w:r>
              <w:rPr>
                <w:rFonts w:ascii="Calibri" w:hAnsi="Calibri"/>
                <w:sz w:val="22"/>
              </w:rPr>
              <w:t>10b5-1 planned sale; pre-scheduled, not discretionary.</w:t>
            </w:r>
          </w:p>
        </w:tc>
      </w:tr>
      <w:tr>
        <w:tc>
          <w:tcPr>
            <w:tcW w:type="dxa" w:w="1440"/>
          </w:tcPr>
          <w:p>
            <w:r>
              <w:rPr>
                <w:rFonts w:ascii="Calibri" w:hAnsi="Calibri"/>
                <w:sz w:val="22"/>
              </w:rPr>
              <w:t>Andrew S. Horn</w:t>
            </w:r>
          </w:p>
        </w:tc>
        <w:tc>
          <w:tcPr>
            <w:tcW w:type="dxa" w:w="1440"/>
          </w:tcPr>
          <w:p>
            <w:r>
              <w:rPr>
                <w:rFonts w:ascii="Calibri" w:hAnsi="Calibri"/>
                <w:sz w:val="22"/>
              </w:rPr>
              <w:t>Deputy CFO</w:t>
            </w:r>
          </w:p>
        </w:tc>
        <w:tc>
          <w:tcPr>
            <w:tcW w:type="dxa" w:w="1440"/>
          </w:tcPr>
          <w:p>
            <w:r>
              <w:rPr>
                <w:rFonts w:ascii="Calibri" w:hAnsi="Calibri"/>
                <w:sz w:val="22"/>
              </w:rPr>
              <w:t>Tax Withholding Disposition (F)</w:t>
            </w:r>
          </w:p>
        </w:tc>
        <w:tc>
          <w:tcPr>
            <w:tcW w:type="dxa" w:w="1440"/>
          </w:tcPr>
          <w:p>
            <w:r>
              <w:rPr>
                <w:rFonts w:ascii="Calibri" w:hAnsi="Calibri"/>
                <w:sz w:val="22"/>
              </w:rPr>
              <w:t>58 shares</w:t>
            </w:r>
          </w:p>
        </w:tc>
        <w:tc>
          <w:tcPr>
            <w:tcW w:type="dxa" w:w="1440"/>
          </w:tcPr>
          <w:p>
            <w:r>
              <w:rPr>
                <w:rFonts w:ascii="Calibri" w:hAnsi="Calibri"/>
                <w:sz w:val="22"/>
              </w:rPr>
              <w:t>May 1, 2026</w:t>
            </w:r>
          </w:p>
        </w:tc>
        <w:tc>
          <w:tcPr>
            <w:tcW w:type="dxa" w:w="1440"/>
          </w:tcPr>
          <w:p>
            <w:r>
              <w:rPr>
                <w:rFonts w:ascii="Calibri" w:hAnsi="Calibri"/>
                <w:sz w:val="22"/>
              </w:rPr>
              <w:t>Shares withheld for tax on vesting; obligation-driven, not discretionary.</w:t>
            </w:r>
          </w:p>
        </w:tc>
      </w:tr>
      <w:tr>
        <w:tc>
          <w:tcPr>
            <w:tcW w:type="dxa" w:w="1440"/>
          </w:tcPr>
          <w:p>
            <w:r>
              <w:rPr>
                <w:rFonts w:ascii="Calibri" w:hAnsi="Calibri"/>
                <w:sz w:val="22"/>
              </w:rPr>
              <w:t>Brandon B. Boze</w:t>
            </w:r>
          </w:p>
        </w:tc>
        <w:tc>
          <w:tcPr>
            <w:tcW w:type="dxa" w:w="1440"/>
          </w:tcPr>
          <w:p>
            <w:r>
              <w:rPr>
                <w:rFonts w:ascii="Calibri" w:hAnsi="Calibri"/>
                <w:sz w:val="22"/>
              </w:rPr>
              <w:t>Director</w:t>
            </w:r>
          </w:p>
        </w:tc>
        <w:tc>
          <w:tcPr>
            <w:tcW w:type="dxa" w:w="1440"/>
          </w:tcPr>
          <w:p>
            <w:r>
              <w:rPr>
                <w:rFonts w:ascii="Calibri" w:hAnsi="Calibri"/>
                <w:sz w:val="22"/>
              </w:rPr>
              <w:t>Equity Award (A)</w:t>
            </w:r>
          </w:p>
        </w:tc>
        <w:tc>
          <w:tcPr>
            <w:tcW w:type="dxa" w:w="1440"/>
          </w:tcPr>
          <w:p>
            <w:r>
              <w:rPr>
                <w:rFonts w:ascii="Calibri" w:hAnsi="Calibri"/>
                <w:sz w:val="22"/>
              </w:rPr>
              <w:t>2,746 shares</w:t>
            </w:r>
          </w:p>
        </w:tc>
        <w:tc>
          <w:tcPr>
            <w:tcW w:type="dxa" w:w="1440"/>
          </w:tcPr>
          <w:p>
            <w:r>
              <w:rPr>
                <w:rFonts w:ascii="Calibri" w:hAnsi="Calibri"/>
                <w:sz w:val="22"/>
              </w:rPr>
              <w:t>May 21, 2026</w:t>
            </w:r>
          </w:p>
        </w:tc>
        <w:tc>
          <w:tcPr>
            <w:tcW w:type="dxa" w:w="1440"/>
          </w:tcPr>
          <w:p>
            <w:r>
              <w:rPr>
                <w:rFonts w:ascii="Calibri" w:hAnsi="Calibri"/>
                <w:sz w:val="22"/>
              </w:rPr>
              <w:t>Routine annual director equity grant; not a market signal.</w:t>
            </w:r>
          </w:p>
        </w:tc>
      </w:tr>
      <w:tr>
        <w:tc>
          <w:tcPr>
            <w:tcW w:type="dxa" w:w="1440"/>
          </w:tcPr>
          <w:p>
            <w:r>
              <w:rPr>
                <w:rFonts w:ascii="Calibri" w:hAnsi="Calibri"/>
                <w:sz w:val="22"/>
              </w:rPr>
              <w:t>Beth F. Cobert</w:t>
            </w:r>
          </w:p>
        </w:tc>
        <w:tc>
          <w:tcPr>
            <w:tcW w:type="dxa" w:w="1440"/>
          </w:tcPr>
          <w:p>
            <w:r>
              <w:rPr>
                <w:rFonts w:ascii="Calibri" w:hAnsi="Calibri"/>
                <w:sz w:val="22"/>
              </w:rPr>
              <w:t>Director</w:t>
            </w:r>
          </w:p>
        </w:tc>
        <w:tc>
          <w:tcPr>
            <w:tcW w:type="dxa" w:w="1440"/>
          </w:tcPr>
          <w:p>
            <w:r>
              <w:rPr>
                <w:rFonts w:ascii="Calibri" w:hAnsi="Calibri"/>
                <w:sz w:val="22"/>
              </w:rPr>
              <w:t>Equity Award (A)</w:t>
            </w:r>
          </w:p>
        </w:tc>
        <w:tc>
          <w:tcPr>
            <w:tcW w:type="dxa" w:w="1440"/>
          </w:tcPr>
          <w:p>
            <w:r>
              <w:rPr>
                <w:rFonts w:ascii="Calibri" w:hAnsi="Calibri"/>
                <w:sz w:val="22"/>
              </w:rPr>
              <w:t>1,907 shares</w:t>
            </w:r>
          </w:p>
        </w:tc>
        <w:tc>
          <w:tcPr>
            <w:tcW w:type="dxa" w:w="1440"/>
          </w:tcPr>
          <w:p>
            <w:r>
              <w:rPr>
                <w:rFonts w:ascii="Calibri" w:hAnsi="Calibri"/>
                <w:sz w:val="22"/>
              </w:rPr>
              <w:t>May 21,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Beth F. Cobert</w:t>
            </w:r>
          </w:p>
        </w:tc>
        <w:tc>
          <w:tcPr>
            <w:tcW w:type="dxa" w:w="1440"/>
          </w:tcPr>
          <w:p>
            <w:r>
              <w:rPr>
                <w:rFonts w:ascii="Calibri" w:hAnsi="Calibri"/>
                <w:sz w:val="22"/>
              </w:rPr>
              <w:t>Director</w:t>
            </w:r>
          </w:p>
        </w:tc>
        <w:tc>
          <w:tcPr>
            <w:tcW w:type="dxa" w:w="1440"/>
          </w:tcPr>
          <w:p>
            <w:r>
              <w:rPr>
                <w:rFonts w:ascii="Calibri" w:hAnsi="Calibri"/>
                <w:sz w:val="22"/>
              </w:rPr>
              <w:t>Gift/Transfer (G)</w:t>
            </w:r>
          </w:p>
        </w:tc>
        <w:tc>
          <w:tcPr>
            <w:tcW w:type="dxa" w:w="1440"/>
          </w:tcPr>
          <w:p>
            <w:r>
              <w:rPr>
                <w:rFonts w:ascii="Calibri" w:hAnsi="Calibri"/>
                <w:sz w:val="22"/>
              </w:rPr>
              <w:t>2,068 shares</w:t>
            </w:r>
          </w:p>
        </w:tc>
        <w:tc>
          <w:tcPr>
            <w:tcW w:type="dxa" w:w="1440"/>
          </w:tcPr>
          <w:p>
            <w:r>
              <w:rPr>
                <w:rFonts w:ascii="Calibri" w:hAnsi="Calibri"/>
                <w:sz w:val="22"/>
              </w:rPr>
              <w:t>May 27, 2026</w:t>
            </w:r>
          </w:p>
        </w:tc>
        <w:tc>
          <w:tcPr>
            <w:tcW w:type="dxa" w:w="1440"/>
          </w:tcPr>
          <w:p>
            <w:r>
              <w:rPr>
                <w:rFonts w:ascii="Calibri" w:hAnsi="Calibri"/>
                <w:sz w:val="22"/>
              </w:rPr>
              <w:t>Disposition via gift; not an open-market sale.</w:t>
            </w:r>
          </w:p>
        </w:tc>
      </w:tr>
      <w:tr>
        <w:tc>
          <w:tcPr>
            <w:tcW w:type="dxa" w:w="1440"/>
          </w:tcPr>
          <w:p>
            <w:r>
              <w:rPr>
                <w:rFonts w:ascii="Calibri" w:hAnsi="Calibri"/>
                <w:sz w:val="22"/>
              </w:rPr>
              <w:t>Reginald H. Gilyard</w:t>
            </w:r>
          </w:p>
        </w:tc>
        <w:tc>
          <w:tcPr>
            <w:tcW w:type="dxa" w:w="1440"/>
          </w:tcPr>
          <w:p>
            <w:r>
              <w:rPr>
                <w:rFonts w:ascii="Calibri" w:hAnsi="Calibri"/>
                <w:sz w:val="22"/>
              </w:rPr>
              <w:t>Director</w:t>
            </w:r>
          </w:p>
        </w:tc>
        <w:tc>
          <w:tcPr>
            <w:tcW w:type="dxa" w:w="1440"/>
          </w:tcPr>
          <w:p>
            <w:r>
              <w:rPr>
                <w:rFonts w:ascii="Calibri" w:hAnsi="Calibri"/>
                <w:sz w:val="22"/>
              </w:rPr>
              <w:t>Equity Award (A)</w:t>
            </w:r>
          </w:p>
        </w:tc>
        <w:tc>
          <w:tcPr>
            <w:tcW w:type="dxa" w:w="1440"/>
          </w:tcPr>
          <w:p>
            <w:r>
              <w:rPr>
                <w:rFonts w:ascii="Calibri" w:hAnsi="Calibri"/>
                <w:sz w:val="22"/>
              </w:rPr>
              <w:t>1,907 shares</w:t>
            </w:r>
          </w:p>
        </w:tc>
        <w:tc>
          <w:tcPr>
            <w:tcW w:type="dxa" w:w="1440"/>
          </w:tcPr>
          <w:p>
            <w:r>
              <w:rPr>
                <w:rFonts w:ascii="Calibri" w:hAnsi="Calibri"/>
                <w:sz w:val="22"/>
              </w:rPr>
              <w:t>May 21,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Shira Goodman</w:t>
            </w:r>
          </w:p>
        </w:tc>
        <w:tc>
          <w:tcPr>
            <w:tcW w:type="dxa" w:w="1440"/>
          </w:tcPr>
          <w:p>
            <w:r>
              <w:rPr>
                <w:rFonts w:ascii="Calibri" w:hAnsi="Calibri"/>
                <w:sz w:val="22"/>
              </w:rPr>
              <w:t>Director</w:t>
            </w:r>
          </w:p>
        </w:tc>
        <w:tc>
          <w:tcPr>
            <w:tcW w:type="dxa" w:w="1440"/>
          </w:tcPr>
          <w:p>
            <w:r>
              <w:rPr>
                <w:rFonts w:ascii="Calibri" w:hAnsi="Calibri"/>
                <w:sz w:val="22"/>
              </w:rPr>
              <w:t>Equity Award (A)</w:t>
            </w:r>
          </w:p>
        </w:tc>
        <w:tc>
          <w:tcPr>
            <w:tcW w:type="dxa" w:w="1440"/>
          </w:tcPr>
          <w:p>
            <w:r>
              <w:rPr>
                <w:rFonts w:ascii="Calibri" w:hAnsi="Calibri"/>
                <w:sz w:val="22"/>
              </w:rPr>
              <w:t>1,907 shares</w:t>
            </w:r>
          </w:p>
        </w:tc>
        <w:tc>
          <w:tcPr>
            <w:tcW w:type="dxa" w:w="1440"/>
          </w:tcPr>
          <w:p>
            <w:r>
              <w:rPr>
                <w:rFonts w:ascii="Calibri" w:hAnsi="Calibri"/>
                <w:sz w:val="22"/>
              </w:rPr>
              <w:t>May 21,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Gerardo I. Lopez</w:t>
            </w:r>
          </w:p>
        </w:tc>
        <w:tc>
          <w:tcPr>
            <w:tcW w:type="dxa" w:w="1440"/>
          </w:tcPr>
          <w:p>
            <w:r>
              <w:rPr>
                <w:rFonts w:ascii="Calibri" w:hAnsi="Calibri"/>
                <w:sz w:val="22"/>
              </w:rPr>
              <w:t>Director</w:t>
            </w:r>
          </w:p>
        </w:tc>
        <w:tc>
          <w:tcPr>
            <w:tcW w:type="dxa" w:w="1440"/>
          </w:tcPr>
          <w:p>
            <w:r>
              <w:rPr>
                <w:rFonts w:ascii="Calibri" w:hAnsi="Calibri"/>
                <w:sz w:val="22"/>
              </w:rPr>
              <w:t>Equity Award (A)</w:t>
            </w:r>
          </w:p>
        </w:tc>
        <w:tc>
          <w:tcPr>
            <w:tcW w:type="dxa" w:w="1440"/>
          </w:tcPr>
          <w:p>
            <w:r>
              <w:rPr>
                <w:rFonts w:ascii="Calibri" w:hAnsi="Calibri"/>
                <w:sz w:val="22"/>
              </w:rPr>
              <w:t>1,907 shares</w:t>
            </w:r>
          </w:p>
        </w:tc>
        <w:tc>
          <w:tcPr>
            <w:tcW w:type="dxa" w:w="1440"/>
          </w:tcPr>
          <w:p>
            <w:r>
              <w:rPr>
                <w:rFonts w:ascii="Calibri" w:hAnsi="Calibri"/>
                <w:sz w:val="22"/>
              </w:rPr>
              <w:t>May 21,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Guy A. Metcalfe</w:t>
            </w:r>
          </w:p>
        </w:tc>
        <w:tc>
          <w:tcPr>
            <w:tcW w:type="dxa" w:w="1440"/>
          </w:tcPr>
          <w:p>
            <w:r>
              <w:rPr>
                <w:rFonts w:ascii="Calibri" w:hAnsi="Calibri"/>
                <w:sz w:val="22"/>
              </w:rPr>
              <w:t>Director</w:t>
            </w:r>
          </w:p>
        </w:tc>
        <w:tc>
          <w:tcPr>
            <w:tcW w:type="dxa" w:w="1440"/>
          </w:tcPr>
          <w:p>
            <w:r>
              <w:rPr>
                <w:rFonts w:ascii="Calibri" w:hAnsi="Calibri"/>
                <w:sz w:val="22"/>
              </w:rPr>
              <w:t>Equity Award (A)</w:t>
            </w:r>
          </w:p>
        </w:tc>
        <w:tc>
          <w:tcPr>
            <w:tcW w:type="dxa" w:w="1440"/>
          </w:tcPr>
          <w:p>
            <w:r>
              <w:rPr>
                <w:rFonts w:ascii="Calibri" w:hAnsi="Calibri"/>
                <w:sz w:val="22"/>
              </w:rPr>
              <w:t>1,907 shares</w:t>
            </w:r>
          </w:p>
        </w:tc>
        <w:tc>
          <w:tcPr>
            <w:tcW w:type="dxa" w:w="1440"/>
          </w:tcPr>
          <w:p>
            <w:r>
              <w:rPr>
                <w:rFonts w:ascii="Calibri" w:hAnsi="Calibri"/>
                <w:sz w:val="22"/>
              </w:rPr>
              <w:t>May 21,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Sanjiv Yajnik</w:t>
            </w:r>
          </w:p>
        </w:tc>
        <w:tc>
          <w:tcPr>
            <w:tcW w:type="dxa" w:w="1440"/>
          </w:tcPr>
          <w:p>
            <w:r>
              <w:rPr>
                <w:rFonts w:ascii="Calibri" w:hAnsi="Calibri"/>
                <w:sz w:val="22"/>
              </w:rPr>
              <w:t>Director</w:t>
            </w:r>
          </w:p>
        </w:tc>
        <w:tc>
          <w:tcPr>
            <w:tcW w:type="dxa" w:w="1440"/>
          </w:tcPr>
          <w:p>
            <w:r>
              <w:rPr>
                <w:rFonts w:ascii="Calibri" w:hAnsi="Calibri"/>
                <w:sz w:val="22"/>
              </w:rPr>
              <w:t>Equity Award (A)</w:t>
            </w:r>
          </w:p>
        </w:tc>
        <w:tc>
          <w:tcPr>
            <w:tcW w:type="dxa" w:w="1440"/>
          </w:tcPr>
          <w:p>
            <w:r>
              <w:rPr>
                <w:rFonts w:ascii="Calibri" w:hAnsi="Calibri"/>
                <w:sz w:val="22"/>
              </w:rPr>
              <w:t>3,433 shares</w:t>
            </w:r>
          </w:p>
        </w:tc>
        <w:tc>
          <w:tcPr>
            <w:tcW w:type="dxa" w:w="1440"/>
          </w:tcPr>
          <w:p>
            <w:r>
              <w:rPr>
                <w:rFonts w:ascii="Calibri" w:hAnsi="Calibri"/>
                <w:sz w:val="22"/>
              </w:rPr>
              <w:t>May 21, 2026</w:t>
            </w:r>
          </w:p>
        </w:tc>
        <w:tc>
          <w:tcPr>
            <w:tcW w:type="dxa" w:w="1440"/>
          </w:tcPr>
          <w:p>
            <w:r>
              <w:rPr>
                <w:rFonts w:ascii="Calibri" w:hAnsi="Calibri"/>
                <w:sz w:val="22"/>
              </w:rPr>
              <w:t>Routine annual director equity grant.</w:t>
            </w:r>
          </w:p>
        </w:tc>
      </w:tr>
      <w:tr>
        <w:tc>
          <w:tcPr>
            <w:tcW w:type="dxa" w:w="1440"/>
          </w:tcPr>
          <w:p>
            <w:r>
              <w:rPr>
                <w:rFonts w:ascii="Calibri" w:hAnsi="Calibri"/>
                <w:sz w:val="22"/>
              </w:rPr>
              <w:t>Gunjan Soni</w:t>
            </w:r>
          </w:p>
        </w:tc>
        <w:tc>
          <w:tcPr>
            <w:tcW w:type="dxa" w:w="1440"/>
          </w:tcPr>
          <w:p>
            <w:r>
              <w:rPr>
                <w:rFonts w:ascii="Calibri" w:hAnsi="Calibri"/>
                <w:sz w:val="22"/>
              </w:rPr>
              <w:t>Director</w:t>
            </w:r>
          </w:p>
        </w:tc>
        <w:tc>
          <w:tcPr>
            <w:tcW w:type="dxa" w:w="1440"/>
          </w:tcPr>
          <w:p>
            <w:r>
              <w:rPr>
                <w:rFonts w:ascii="Calibri" w:hAnsi="Calibri"/>
                <w:sz w:val="22"/>
              </w:rPr>
              <w:t>Equity Award (A)</w:t>
            </w:r>
          </w:p>
        </w:tc>
        <w:tc>
          <w:tcPr>
            <w:tcW w:type="dxa" w:w="1440"/>
          </w:tcPr>
          <w:p>
            <w:r>
              <w:rPr>
                <w:rFonts w:ascii="Calibri" w:hAnsi="Calibri"/>
                <w:sz w:val="22"/>
              </w:rPr>
              <w:t>1,907 shares</w:t>
            </w:r>
          </w:p>
        </w:tc>
        <w:tc>
          <w:tcPr>
            <w:tcW w:type="dxa" w:w="1440"/>
          </w:tcPr>
          <w:p>
            <w:r>
              <w:rPr>
                <w:rFonts w:ascii="Calibri" w:hAnsi="Calibri"/>
                <w:sz w:val="22"/>
              </w:rPr>
              <w:t>May 21, 2026</w:t>
            </w:r>
          </w:p>
        </w:tc>
        <w:tc>
          <w:tcPr>
            <w:tcW w:type="dxa" w:w="1440"/>
          </w:tcPr>
          <w:p>
            <w:r>
              <w:rPr>
                <w:rFonts w:ascii="Calibri" w:hAnsi="Calibri"/>
                <w:sz w:val="22"/>
              </w:rPr>
              <w:t>Routine annual director equity grant.</w:t>
            </w:r>
          </w:p>
        </w:tc>
      </w:tr>
    </w:tbl>
    <w:p>
      <w:r>
        <w:rPr>
          <w:rFonts w:ascii="Calibri" w:hAnsi="Calibri"/>
          <w:i/>
          <w:color w:val="525866"/>
          <w:sz w:val="22"/>
        </w:rPr>
        <w:t>Source: Insider Transaction Data (SEC Form 4 filings). Open-market buys and sells only (codes P/S) plus 10b5-1 plan disclosures and tax-withholding dispositions (code F). All transactions since Q1 2026 earnings (April 23, 2026).</w:t>
      </w:r>
    </w:p>
    <w:p>
      <w:r>
        <w:rPr>
          <w:rFonts w:ascii="Calibri" w:hAnsi="Calibri"/>
          <w:b/>
          <w:color w:val="525866"/>
          <w:sz w:val="22"/>
        </w:rPr>
        <w:t xml:space="preserve">Assessment: </w:t>
      </w:r>
      <w:r>
        <w:rPr>
          <w:rFonts w:ascii="Calibri" w:hAnsi="Calibri"/>
          <w:color w:val="525866"/>
          <w:sz w:val="22"/>
        </w:rPr>
        <w:t>No discretionary open-market purchases or sales by senior executives. The CFO’s 10b5-1 sale (2,250 shares, ~$330K at ~$147/share) is pre-scheduled and not a signal. All other transactions are routine director equity grants or tax-withholding dispositions. The complete absence of discretionary insider selling at current price levels (~$147, well below the 52-week high) is mildly constructive — insiders are not rushing to sell into any strength.</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