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CBRE Group, Inc. (CBRE)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CBRE</w:t>
            </w:r>
          </w:p>
        </w:tc>
        <w:tc>
          <w:tcPr>
            <w:tcW w:type="dxa" w:w="2160"/>
          </w:tcPr>
          <w:p>
            <w:r>
              <w:rPr>
                <w:rFonts w:ascii="Calibri" w:hAnsi="Calibri"/>
                <w:b/>
                <w:sz w:val="22"/>
              </w:rPr>
              <w:t>Earnings Date</w:t>
            </w:r>
          </w:p>
        </w:tc>
        <w:tc>
          <w:tcPr>
            <w:tcW w:type="dxa" w:w="2160"/>
          </w:tcPr>
          <w:p>
            <w:r>
              <w:rPr>
                <w:rFonts w:ascii="Calibri" w:hAnsi="Calibri"/>
                <w:sz w:val="22"/>
              </w:rPr>
              <w:t>July 29, 2026 — 8:30 AM ET</w:t>
            </w:r>
          </w:p>
        </w:tc>
      </w:tr>
      <w:tr>
        <w:tc>
          <w:tcPr>
            <w:tcW w:type="dxa" w:w="2160"/>
          </w:tcPr>
          <w:p>
            <w:r>
              <w:rPr>
                <w:rFonts w:ascii="Calibri" w:hAnsi="Calibri"/>
                <w:b/>
                <w:sz w:val="22"/>
              </w:rPr>
              <w:t>Sector</w:t>
            </w:r>
          </w:p>
        </w:tc>
        <w:tc>
          <w:tcPr>
            <w:tcW w:type="dxa" w:w="2160"/>
          </w:tcPr>
          <w:p>
            <w:r>
              <w:rPr>
                <w:rFonts w:ascii="Calibri" w:hAnsi="Calibri"/>
                <w:sz w:val="22"/>
              </w:rPr>
              <w:t>Commercial Real Estate Services</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Last Earnings</w:t>
            </w:r>
          </w:p>
        </w:tc>
        <w:tc>
          <w:tcPr>
            <w:tcW w:type="dxa" w:w="2160"/>
          </w:tcPr>
          <w:p>
            <w:r>
              <w:rPr>
                <w:rFonts w:ascii="Calibri" w:hAnsi="Calibri"/>
                <w:sz w:val="22"/>
              </w:rPr>
              <w:t>April 23,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layup — consensus has drifted modestly lower since Q1 earnings, the bar is achievable, and the biggest swing factor is whether infrastructure / data center momentum sustains the pace set in Q1.</w:t>
      </w:r>
    </w:p>
    <w:p>
      <w:r>
        <w:rPr>
          <w:rFonts w:ascii="Calibri" w:hAnsi="Calibri"/>
          <w:b/>
          <w:color w:val="525866"/>
          <w:sz w:val="22"/>
        </w:rPr>
        <w:t xml:space="preserve">Bar: </w:t>
      </w:r>
      <w:r>
        <w:rPr>
          <w:rFonts w:ascii="Calibri" w:hAnsi="Calibri"/>
          <w:color w:val="525866"/>
          <w:sz w:val="22"/>
        </w:rPr>
        <w:t>Consensus Adjusted EPS for Q2 2026 sits at $1.48 (down from $1.52 immediately post-Q1 print), implying roughly 23% YoY growth vs. the $1.20 reported in Q2 2025 — a meaningful but not stretched bar given management's explicit commentary that Q2 pipelines entered the quarter "stronger than expected." Revenue consensus of ~$11.2B represents ~16% YoY growth, broadly in line with Q1's trajectory.</w:t>
      </w:r>
    </w:p>
    <w:p>
      <w:r>
        <w:rPr>
          <w:rFonts w:ascii="Calibri" w:hAnsi="Calibri"/>
          <w:b/>
          <w:color w:val="525866"/>
          <w:sz w:val="22"/>
        </w:rPr>
        <w:t xml:space="preserve">Guidance / Tone: </w:t>
      </w:r>
      <w:r>
        <w:rPr>
          <w:rFonts w:ascii="Calibri" w:hAnsi="Calibri"/>
          <w:color w:val="525866"/>
          <w:sz w:val="22"/>
        </w:rPr>
        <w:t>Management raised full-year 2026 core EPS guidance to $7.60–$7.80 (from $7.30–$7.60) on the Q1 call, citing outperformance in Q1, early Q2 momentum, and strong pipelines across all segments. The tone was notably confident: Advisory SOP growth upgraded to high-teens, BOE SOP growth guided to ~25%, and the critical infrastructure services business line (data centers, telecom, power) expected to grow in excess of 60% for the full year. No post-earnings guidance revision has been issued since April 23.</w:t>
      </w:r>
    </w:p>
    <w:p>
      <w:r>
        <w:rPr>
          <w:rFonts w:ascii="Calibri" w:hAnsi="Calibri"/>
          <w:b/>
          <w:color w:val="525866"/>
          <w:sz w:val="22"/>
        </w:rPr>
        <w:t xml:space="preserve">Estimate Trajectory: </w:t>
      </w:r>
      <w:r>
        <w:rPr>
          <w:rFonts w:ascii="Calibri" w:hAnsi="Calibri"/>
          <w:color w:val="525866"/>
          <w:sz w:val="22"/>
        </w:rPr>
        <w:t>Q2 2026 Adjusted EPS estimates have drifted ~2.5% lower since the post-Q1 baseline ($1.52 → $1.48), while FY2026 EPS has slipped ~0.5% ($7.76 → $7.72). The modest downward drift likely reflects macro uncertainty and some conservatism around the timing of development profits (Q1 pulled forward Trammell Crow land gains), rather than any fundamental deterioration. The gap between current consensus and the FY guidance midpoint ($7.70) is negligible, suggesting estimates are broadly tracking guidance.</w:t>
      </w:r>
    </w:p>
    <w:p>
      <w:r>
        <w:rPr>
          <w:rFonts w:ascii="Calibri" w:hAnsi="Calibri"/>
          <w:b/>
          <w:color w:val="525866"/>
          <w:sz w:val="22"/>
        </w:rPr>
        <w:t xml:space="preserve">Stock Setup: </w:t>
      </w:r>
      <w:r>
        <w:rPr>
          <w:rFonts w:ascii="Calibri" w:hAnsi="Calibri"/>
          <w:color w:val="525866"/>
          <w:sz w:val="22"/>
        </w:rPr>
        <w:t>CBRE has underperformed both XLRE (+4.1%) and the S&amp;P 500 (+4.3%) since the Q1 print, with the stock down ~1.5% on an indexed basis as of July 28. The NTM P/E has compressed from ~25x to ~21x over six months, suggesting the market has de-rated the stock despite the guidance raise — creating a potentially attractive setup if Q2 confirms the infrastructure growth narrative. At ~21x NTM earnings, CBRE trades at a discount to its recent history and below where the quality of the earnings mix arguably warrants.</w:t>
      </w:r>
    </w:p>
    <w:p>
      <w:r>
        <w:rPr>
          <w:rFonts w:ascii="Calibri" w:hAnsi="Calibri"/>
          <w:b/>
          <w:color w:val="525866"/>
          <w:sz w:val="22"/>
        </w:rPr>
        <w:t xml:space="preserve">Wildcard: </w:t>
      </w:r>
      <w:r>
        <w:rPr>
          <w:rFonts w:ascii="Calibri" w:hAnsi="Calibri"/>
          <w:color w:val="525866"/>
          <w:sz w:val="22"/>
        </w:rPr>
        <w:t xml:space="preserve">The single biggest swing factor is the pace of </w:t>
      </w:r>
      <w:r>
        <w:rPr>
          <w:rFonts w:ascii="Calibri" w:hAnsi="Calibri"/>
          <w:b/>
          <w:color w:val="525866"/>
          <w:sz w:val="22"/>
        </w:rPr>
        <w:t>critical infrastructure services revenue</w:t>
      </w:r>
      <w:r>
        <w:rPr>
          <w:rFonts w:ascii="Calibri" w:hAnsi="Calibri"/>
          <w:color w:val="525866"/>
          <w:sz w:val="22"/>
        </w:rPr>
        <w:t xml:space="preserve"> in Q2. This business line (data centers, telecom, power via Pearce) grew 71% YoY in Q1 and is expected to grow 60%+ for the full year. Any acceleration or deceleration vs. that pace — combined with the seasonality caveat management flagged for Pearce — could move estimates materially. A secondary wildcard is whether capital markets (property sales, mortgage origination) maintained Q1's exceptional momentum (+43% and +53% YoY, respectively) into Q2 amid macro uncertainty.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achievable bar — estimates have drifted slightly lower since Q1 earnings, and management's own commentary on Q2 pipeline strength suggests the Street may be conservative. </w:t>
      </w:r>
      <w:r>
        <w:rPr>
          <w:rFonts w:ascii="Calibri" w:hAnsi="Calibri"/>
          <w:b/>
          <w:color w:val="525866"/>
          <w:sz w:val="22"/>
        </w:rPr>
        <w:t>Adjusted EPS is the primary swing factor</w:t>
      </w:r>
      <w:r>
        <w:rPr>
          <w:rFonts w:ascii="Calibri" w:hAnsi="Calibri"/>
          <w:color w:val="525866"/>
          <w:sz w:val="22"/>
        </w:rPr>
        <w:t>; revenue is secondary given the high pass-through cost mix in BOE.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 Diluted</w:t>
            </w:r>
          </w:p>
        </w:tc>
        <w:tc>
          <w:tcPr>
            <w:tcW w:type="dxa" w:w="1234"/>
          </w:tcPr>
          <w:p>
            <w:r>
              <w:rPr>
                <w:rFonts w:ascii="Calibri" w:hAnsi="Calibri"/>
                <w:sz w:val="22"/>
              </w:rPr>
              <w:t>$1.61</w:t>
            </w:r>
          </w:p>
        </w:tc>
        <w:tc>
          <w:tcPr>
            <w:tcW w:type="dxa" w:w="1234"/>
          </w:tcPr>
          <w:p>
            <w:r>
              <w:rPr>
                <w:rFonts w:ascii="Calibri" w:hAnsi="Calibri"/>
                <w:sz w:val="22"/>
              </w:rPr>
              <w:t>$1.20</w:t>
            </w:r>
          </w:p>
        </w:tc>
        <w:tc>
          <w:tcPr>
            <w:tcW w:type="dxa" w:w="1234"/>
          </w:tcPr>
          <w:p>
            <w:r>
              <w:rPr>
                <w:rFonts w:ascii="Calibri" w:hAnsi="Calibri"/>
                <w:sz w:val="22"/>
              </w:rPr>
              <w:t>$1.48</w:t>
            </w:r>
          </w:p>
        </w:tc>
        <w:tc>
          <w:tcPr>
            <w:tcW w:type="dxa" w:w="1234"/>
          </w:tcPr>
          <w:p>
            <w:r>
              <w:rPr>
                <w:rFonts w:ascii="Calibri" w:hAnsi="Calibri"/>
                <w:sz w:val="22"/>
              </w:rPr>
              <w:t>+23.3%</w:t>
            </w:r>
          </w:p>
        </w:tc>
        <w:tc>
          <w:tcPr>
            <w:tcW w:type="dxa" w:w="1234"/>
          </w:tcPr>
          <w:p>
            <w:r>
              <w:rPr>
                <w:rFonts w:ascii="Calibri" w:hAnsi="Calibri"/>
                <w:sz w:val="22"/>
              </w:rPr>
              <w:t>$7.60–$7.80 (FY)</w:t>
            </w:r>
          </w:p>
        </w:tc>
        <w:tc>
          <w:tcPr>
            <w:tcW w:type="dxa" w:w="1234"/>
          </w:tcPr>
          <w:p>
            <w:r>
              <w:rPr>
                <w:rFonts w:ascii="Calibri" w:hAnsi="Calibri"/>
                <w:sz w:val="22"/>
              </w:rPr>
              <w:t>FY consensus $7.72 vs. midpoint $7.70; +0.3%</w:t>
            </w:r>
          </w:p>
        </w:tc>
      </w:tr>
      <w:tr>
        <w:tc>
          <w:tcPr>
            <w:tcW w:type="dxa" w:w="1234"/>
          </w:tcPr>
          <w:p>
            <w:r>
              <w:rPr>
                <w:rFonts w:ascii="Calibri" w:hAnsi="Calibri"/>
                <w:sz w:val="22"/>
              </w:rPr>
              <w:t>Total Revenue</w:t>
            </w:r>
          </w:p>
        </w:tc>
        <w:tc>
          <w:tcPr>
            <w:tcW w:type="dxa" w:w="1234"/>
          </w:tcPr>
          <w:p>
            <w:r>
              <w:rPr>
                <w:rFonts w:ascii="Calibri" w:hAnsi="Calibri"/>
                <w:sz w:val="22"/>
              </w:rPr>
              <w:t>$10.53B</w:t>
            </w:r>
          </w:p>
        </w:tc>
        <w:tc>
          <w:tcPr>
            <w:tcW w:type="dxa" w:w="1234"/>
          </w:tcPr>
          <w:p>
            <w:r>
              <w:rPr>
                <w:rFonts w:ascii="Calibri" w:hAnsi="Calibri"/>
                <w:sz w:val="22"/>
              </w:rPr>
              <w:t>$9.72B</w:t>
            </w:r>
          </w:p>
        </w:tc>
        <w:tc>
          <w:tcPr>
            <w:tcW w:type="dxa" w:w="1234"/>
          </w:tcPr>
          <w:p>
            <w:r>
              <w:rPr>
                <w:rFonts w:ascii="Calibri" w:hAnsi="Calibri"/>
                <w:sz w:val="22"/>
              </w:rPr>
              <w:t>$11.24B</w:t>
            </w:r>
          </w:p>
        </w:tc>
        <w:tc>
          <w:tcPr>
            <w:tcW w:type="dxa" w:w="1234"/>
          </w:tcPr>
          <w:p>
            <w:r>
              <w:rPr>
                <w:rFonts w:ascii="Calibri" w:hAnsi="Calibri"/>
                <w:sz w:val="22"/>
              </w:rPr>
              <w:t>+15.6%</w:t>
            </w:r>
          </w:p>
        </w:tc>
        <w:tc>
          <w:tcPr>
            <w:tcW w:type="dxa" w:w="1234"/>
          </w:tcPr>
          <w:p>
            <w:r>
              <w:rPr>
                <w:rFonts w:ascii="Calibri" w:hAnsi="Calibri"/>
                <w:sz w:val="22"/>
              </w:rPr>
              <w:t>No specific Q2 guidance; FY consensus $46.8B</w:t>
            </w:r>
          </w:p>
        </w:tc>
        <w:tc>
          <w:tcPr>
            <w:tcW w:type="dxa" w:w="1234"/>
          </w:tcPr>
          <w:p>
            <w:r>
              <w:rPr>
                <w:rFonts w:ascii="Calibri" w:hAnsi="Calibri"/>
                <w:sz w:val="22"/>
              </w:rPr>
              <w:t>N/A — no Q2 revenue guidance issued</w:t>
            </w:r>
          </w:p>
        </w:tc>
      </w:tr>
      <w:tr>
        <w:tc>
          <w:tcPr>
            <w:tcW w:type="dxa" w:w="1234"/>
          </w:tcPr>
          <w:p>
            <w:r>
              <w:rPr>
                <w:rFonts w:ascii="Calibri" w:hAnsi="Calibri"/>
                <w:sz w:val="22"/>
              </w:rPr>
              <w:t>Advisory Services Revenue</w:t>
            </w:r>
          </w:p>
        </w:tc>
        <w:tc>
          <w:tcPr>
            <w:tcW w:type="dxa" w:w="1234"/>
          </w:tcPr>
          <w:p>
            <w:r>
              <w:rPr>
                <w:rFonts w:ascii="Calibri" w:hAnsi="Calibri"/>
                <w:sz w:val="22"/>
              </w:rPr>
              <w:t>$2.02B</w:t>
            </w:r>
          </w:p>
        </w:tc>
        <w:tc>
          <w:tcPr>
            <w:tcW w:type="dxa" w:w="1234"/>
          </w:tcPr>
          <w:p>
            <w:r>
              <w:rPr>
                <w:rFonts w:ascii="Calibri" w:hAnsi="Calibri"/>
                <w:sz w:val="22"/>
              </w:rPr>
              <w:t>$1.96B</w:t>
            </w:r>
          </w:p>
        </w:tc>
        <w:tc>
          <w:tcPr>
            <w:tcW w:type="dxa" w:w="1234"/>
          </w:tcPr>
          <w:p>
            <w:r>
              <w:rPr>
                <w:rFonts w:ascii="Calibri" w:hAnsi="Calibri"/>
                <w:sz w:val="22"/>
              </w:rPr>
              <w:t>$2.23B</w:t>
            </w:r>
          </w:p>
        </w:tc>
        <w:tc>
          <w:tcPr>
            <w:tcW w:type="dxa" w:w="1234"/>
          </w:tcPr>
          <w:p>
            <w:r>
              <w:rPr>
                <w:rFonts w:ascii="Calibri" w:hAnsi="Calibri"/>
                <w:sz w:val="22"/>
              </w:rPr>
              <w:t>+13.8%</w:t>
            </w:r>
          </w:p>
        </w:tc>
        <w:tc>
          <w:tcPr>
            <w:tcW w:type="dxa" w:w="1234"/>
          </w:tcPr>
          <w:p>
            <w:r>
              <w:rPr>
                <w:rFonts w:ascii="Calibri" w:hAnsi="Calibri"/>
                <w:sz w:val="22"/>
              </w:rPr>
              <w:t>High-teens SOP growth (FY)</w:t>
            </w:r>
          </w:p>
        </w:tc>
        <w:tc>
          <w:tcPr>
            <w:tcW w:type="dxa" w:w="1234"/>
          </w:tcPr>
          <w:p>
            <w:r>
              <w:rPr>
                <w:rFonts w:ascii="Calibri" w:hAnsi="Calibri"/>
                <w:sz w:val="22"/>
              </w:rPr>
              <w:t>N/A — SOP guidance, not revenue</w:t>
            </w:r>
          </w:p>
        </w:tc>
      </w:tr>
      <w:tr>
        <w:tc>
          <w:tcPr>
            <w:tcW w:type="dxa" w:w="1234"/>
          </w:tcPr>
          <w:p>
            <w:r>
              <w:rPr>
                <w:rFonts w:ascii="Calibri" w:hAnsi="Calibri"/>
                <w:sz w:val="22"/>
              </w:rPr>
              <w:t>Project Management Revenue</w:t>
            </w:r>
          </w:p>
        </w:tc>
        <w:tc>
          <w:tcPr>
            <w:tcW w:type="dxa" w:w="1234"/>
          </w:tcPr>
          <w:p>
            <w:r>
              <w:rPr>
                <w:rFonts w:ascii="Calibri" w:hAnsi="Calibri"/>
                <w:sz w:val="22"/>
              </w:rPr>
              <w:t>$0.91B</w:t>
            </w:r>
          </w:p>
        </w:tc>
        <w:tc>
          <w:tcPr>
            <w:tcW w:type="dxa" w:w="1234"/>
          </w:tcPr>
          <w:p>
            <w:r>
              <w:rPr>
                <w:rFonts w:ascii="Calibri" w:hAnsi="Calibri"/>
                <w:sz w:val="22"/>
              </w:rPr>
              <w:t>$0.83B</w:t>
            </w:r>
          </w:p>
        </w:tc>
        <w:tc>
          <w:tcPr>
            <w:tcW w:type="dxa" w:w="1234"/>
          </w:tcPr>
          <w:p>
            <w:r>
              <w:rPr>
                <w:rFonts w:ascii="Calibri" w:hAnsi="Calibri"/>
                <w:sz w:val="22"/>
              </w:rPr>
              <w:t>$0.95B</w:t>
            </w:r>
          </w:p>
        </w:tc>
        <w:tc>
          <w:tcPr>
            <w:tcW w:type="dxa" w:w="1234"/>
          </w:tcPr>
          <w:p>
            <w:r>
              <w:rPr>
                <w:rFonts w:ascii="Calibri" w:hAnsi="Calibri"/>
                <w:sz w:val="22"/>
              </w:rPr>
              <w:t>+14.5%</w:t>
            </w:r>
          </w:p>
        </w:tc>
        <w:tc>
          <w:tcPr>
            <w:tcW w:type="dxa" w:w="1234"/>
          </w:tcPr>
          <w:p>
            <w:r>
              <w:rPr>
                <w:rFonts w:ascii="Calibri" w:hAnsi="Calibri"/>
                <w:sz w:val="22"/>
              </w:rPr>
              <w:t>Unchanged from prior guidance</w:t>
            </w:r>
          </w:p>
        </w:tc>
        <w:tc>
          <w:tcPr>
            <w:tcW w:type="dxa" w:w="1234"/>
          </w:tcPr>
          <w:p>
            <w:r>
              <w:rPr>
                <w:rFonts w:ascii="Calibri" w:hAnsi="Calibri"/>
                <w:sz w:val="22"/>
              </w:rPr>
              <w:t>N/A — no specific revenue guidance</w:t>
            </w:r>
          </w:p>
        </w:tc>
      </w:tr>
      <w:tr>
        <w:tc>
          <w:tcPr>
            <w:tcW w:type="dxa" w:w="1234"/>
          </w:tcPr>
          <w:p>
            <w:r>
              <w:rPr>
                <w:rFonts w:ascii="Calibri" w:hAnsi="Calibri"/>
                <w:sz w:val="22"/>
              </w:rPr>
              <w:t>Adjusted EBITDA</w:t>
            </w:r>
          </w:p>
        </w:tc>
        <w:tc>
          <w:tcPr>
            <w:tcW w:type="dxa" w:w="1234"/>
          </w:tcPr>
          <w:p>
            <w:r>
              <w:rPr>
                <w:rFonts w:ascii="Calibri" w:hAnsi="Calibri"/>
                <w:sz w:val="22"/>
              </w:rPr>
              <w:t>$831M</w:t>
            </w:r>
          </w:p>
        </w:tc>
        <w:tc>
          <w:tcPr>
            <w:tcW w:type="dxa" w:w="1234"/>
          </w:tcPr>
          <w:p>
            <w:r>
              <w:rPr>
                <w:rFonts w:ascii="Calibri" w:hAnsi="Calibri"/>
                <w:sz w:val="22"/>
              </w:rPr>
              <w:t>$626M</w:t>
            </w:r>
          </w:p>
        </w:tc>
        <w:tc>
          <w:tcPr>
            <w:tcW w:type="dxa" w:w="1234"/>
          </w:tcPr>
          <w:p>
            <w:r>
              <w:rPr>
                <w:rFonts w:ascii="Calibri" w:hAnsi="Calibri"/>
                <w:sz w:val="22"/>
              </w:rPr>
              <w:t>$765M</w:t>
            </w:r>
          </w:p>
        </w:tc>
        <w:tc>
          <w:tcPr>
            <w:tcW w:type="dxa" w:w="1234"/>
          </w:tcPr>
          <w:p>
            <w:r>
              <w:rPr>
                <w:rFonts w:ascii="Calibri" w:hAnsi="Calibri"/>
                <w:sz w:val="22"/>
              </w:rPr>
              <w:t>+22.2%</w:t>
            </w:r>
          </w:p>
        </w:tc>
        <w:tc>
          <w:tcPr>
            <w:tcW w:type="dxa" w:w="1234"/>
          </w:tcPr>
          <w:p>
            <w:r>
              <w:rPr>
                <w:rFonts w:ascii="Calibri" w:hAnsi="Calibri"/>
                <w:sz w:val="22"/>
              </w:rPr>
              <w:t>FY consensus ~$3.74B</w:t>
            </w:r>
          </w:p>
        </w:tc>
        <w:tc>
          <w:tcPr>
            <w:tcW w:type="dxa" w:w="1234"/>
          </w:tcPr>
          <w:p>
            <w:r>
              <w:rPr>
                <w:rFonts w:ascii="Calibri" w:hAnsi="Calibri"/>
                <w:sz w:val="22"/>
              </w:rPr>
              <w:t>N/A — no specific EBITDA guidance</w:t>
            </w:r>
          </w:p>
        </w:tc>
      </w:tr>
    </w:tbl>
    <w:p>
      <w:r>
        <w:rPr>
          <w:rFonts w:ascii="Calibri" w:hAnsi="Calibri"/>
          <w:i/>
          <w:color w:val="525866"/>
          <w:sz w:val="22"/>
        </w:rPr>
        <w:t>Source: Visible Alpha Consensus and Actuals Data. All consensus figures as of July 28, 2026. Q1 2026 actuals and Q2 2025 actuals from Visible Alpha reported figures.</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Adjusted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$1.61</w:t>
            </w:r>
          </w:p>
        </w:tc>
        <w:tc>
          <w:tcPr>
            <w:tcW w:type="dxa" w:w="1728"/>
          </w:tcPr>
          <w:p>
            <w:r>
              <w:rPr>
                <w:rFonts w:ascii="Calibri" w:hAnsi="Calibri"/>
                <w:sz w:val="22"/>
              </w:rPr>
              <w:t>$1.14</w:t>
            </w:r>
          </w:p>
        </w:tc>
        <w:tc>
          <w:tcPr>
            <w:tcW w:type="dxa" w:w="1728"/>
          </w:tcPr>
          <w:p>
            <w:r>
              <w:rPr>
                <w:rFonts w:ascii="Calibri" w:hAnsi="Calibri"/>
                <w:b/>
                <w:color w:val="30A46C"/>
                <w:sz w:val="22"/>
              </w:rPr>
              <w:t>+41.2%</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$2.69</w:t>
            </w:r>
          </w:p>
        </w:tc>
        <w:tc>
          <w:tcPr>
            <w:tcW w:type="dxa" w:w="1728"/>
          </w:tcPr>
          <w:p>
            <w:r>
              <w:rPr>
                <w:rFonts w:ascii="Calibri" w:hAnsi="Calibri"/>
                <w:sz w:val="22"/>
              </w:rPr>
              <w:t>$2.69</w:t>
            </w:r>
          </w:p>
        </w:tc>
        <w:tc>
          <w:tcPr>
            <w:tcW w:type="dxa" w:w="1728"/>
          </w:tcPr>
          <w:p>
            <w:r>
              <w:rPr>
                <w:rFonts w:ascii="Calibri" w:hAnsi="Calibri"/>
                <w:sz w:val="22"/>
              </w:rPr>
              <w:t>~0%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$1.60</w:t>
            </w:r>
          </w:p>
        </w:tc>
        <w:tc>
          <w:tcPr>
            <w:tcW w:type="dxa" w:w="1728"/>
          </w:tcPr>
          <w:p>
            <w:r>
              <w:rPr>
                <w:rFonts w:ascii="Calibri" w:hAnsi="Calibri"/>
                <w:sz w:val="22"/>
              </w:rPr>
              <w:t>$1.46</w:t>
            </w:r>
          </w:p>
        </w:tc>
        <w:tc>
          <w:tcPr>
            <w:tcW w:type="dxa" w:w="1728"/>
          </w:tcPr>
          <w:p>
            <w:r>
              <w:rPr>
                <w:rFonts w:ascii="Calibri" w:hAnsi="Calibri"/>
                <w:b/>
                <w:color w:val="30A46C"/>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$1.20</w:t>
            </w:r>
          </w:p>
        </w:tc>
        <w:tc>
          <w:tcPr>
            <w:tcW w:type="dxa" w:w="1728"/>
          </w:tcPr>
          <w:p>
            <w:r>
              <w:rPr>
                <w:rFonts w:ascii="Calibri" w:hAnsi="Calibri"/>
                <w:sz w:val="22"/>
              </w:rPr>
              <w:t>$1.07</w:t>
            </w:r>
          </w:p>
        </w:tc>
        <w:tc>
          <w:tcPr>
            <w:tcW w:type="dxa" w:w="1728"/>
          </w:tcPr>
          <w:p>
            <w:r>
              <w:rPr>
                <w:rFonts w:ascii="Calibri" w:hAnsi="Calibri"/>
                <w:b/>
                <w:color w:val="30A46C"/>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$0.89</w:t>
            </w:r>
          </w:p>
        </w:tc>
        <w:tc>
          <w:tcPr>
            <w:tcW w:type="dxa" w:w="1728"/>
          </w:tcPr>
          <w:p>
            <w:r>
              <w:rPr>
                <w:rFonts w:ascii="Calibri" w:hAnsi="Calibri"/>
                <w:sz w:val="22"/>
              </w:rPr>
              <w:t>$0.76</w:t>
            </w:r>
          </w:p>
        </w:tc>
        <w:tc>
          <w:tcPr>
            <w:tcW w:type="dxa" w:w="1728"/>
          </w:tcPr>
          <w:p>
            <w:r>
              <w:rPr>
                <w:rFonts w:ascii="Calibri" w:hAnsi="Calibri"/>
                <w:b/>
                <w:color w:val="30A46C"/>
                <w:sz w:val="22"/>
              </w:rPr>
              <w:t>+17.1%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$2.28</w:t>
            </w:r>
          </w:p>
        </w:tc>
        <w:tc>
          <w:tcPr>
            <w:tcW w:type="dxa" w:w="1728"/>
          </w:tcPr>
          <w:p>
            <w:r>
              <w:rPr>
                <w:rFonts w:ascii="Calibri" w:hAnsi="Calibri"/>
                <w:sz w:val="22"/>
              </w:rPr>
              <w:t>$2.23</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$1.19</w:t>
            </w:r>
          </w:p>
        </w:tc>
        <w:tc>
          <w:tcPr>
            <w:tcW w:type="dxa" w:w="1728"/>
          </w:tcPr>
          <w:p>
            <w:r>
              <w:rPr>
                <w:rFonts w:ascii="Calibri" w:hAnsi="Calibri"/>
                <w:sz w:val="22"/>
              </w:rPr>
              <w:t>$1.06</w:t>
            </w:r>
          </w:p>
        </w:tc>
        <w:tc>
          <w:tcPr>
            <w:tcW w:type="dxa" w:w="1728"/>
          </w:tcPr>
          <w:p>
            <w:r>
              <w:rPr>
                <w:rFonts w:ascii="Calibri" w:hAnsi="Calibri"/>
                <w:b/>
                <w:color w:val="30A46C"/>
                <w:sz w:val="22"/>
              </w:rPr>
              <w:t>+12.2%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$0.83</w:t>
            </w:r>
          </w:p>
        </w:tc>
        <w:tc>
          <w:tcPr>
            <w:tcW w:type="dxa" w:w="1728"/>
          </w:tcPr>
          <w:p>
            <w:r>
              <w:rPr>
                <w:rFonts w:ascii="Calibri" w:hAnsi="Calibri"/>
                <w:sz w:val="22"/>
              </w:rPr>
              <w:t>$0.70</w:t>
            </w:r>
          </w:p>
        </w:tc>
        <w:tc>
          <w:tcPr>
            <w:tcW w:type="dxa" w:w="1728"/>
          </w:tcPr>
          <w:p>
            <w:r>
              <w:rPr>
                <w:rFonts w:ascii="Calibri" w:hAnsi="Calibri"/>
                <w:b/>
                <w:color w:val="30A46C"/>
                <w:sz w:val="22"/>
              </w:rPr>
              <w:t>+18.6%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CBRE has beaten Adjusted EPS consensus in 7 of the last 8 quarters, with an average positive surprise of ~14% — the Q1 2026 beat of +41% was exceptional and driven partly by the pull-forward of Trammell Crow land development profits. The consistent beat pattern suggests the Street tends to under-model CBRE, though the magnitude of Q1's beat is unlikely to repeat.</w:t>
      </w:r>
    </w:p>
    <w:p>
      <w:r>
        <w:rPr>
          <w:rFonts w:ascii="Calibri" w:hAnsi="Calibri"/>
          <w:b/>
          <w:color w:val="525866"/>
          <w:sz w:val="22"/>
        </w:rPr>
        <w:t>KPI 2: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$10.53B</w:t>
            </w:r>
          </w:p>
        </w:tc>
        <w:tc>
          <w:tcPr>
            <w:tcW w:type="dxa" w:w="1728"/>
          </w:tcPr>
          <w:p>
            <w:r>
              <w:rPr>
                <w:rFonts w:ascii="Calibri" w:hAnsi="Calibri"/>
                <w:sz w:val="22"/>
              </w:rPr>
              <w:t>$10.23B</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$11.59B</w:t>
            </w:r>
          </w:p>
        </w:tc>
        <w:tc>
          <w:tcPr>
            <w:tcW w:type="dxa" w:w="1728"/>
          </w:tcPr>
          <w:p>
            <w:r>
              <w:rPr>
                <w:rFonts w:ascii="Calibri" w:hAnsi="Calibri"/>
                <w:sz w:val="22"/>
              </w:rPr>
              <w:t>$11.66B</w:t>
            </w:r>
          </w:p>
        </w:tc>
        <w:tc>
          <w:tcPr>
            <w:tcW w:type="dxa" w:w="1728"/>
          </w:tcPr>
          <w:p>
            <w:r>
              <w:rPr>
                <w:rFonts w:ascii="Calibri" w:hAnsi="Calibri"/>
                <w:b/>
                <w:color w:val="E5484D"/>
                <w:sz w:val="22"/>
              </w:rPr>
              <w:t>-0.6%</w:t>
            </w:r>
          </w:p>
        </w:tc>
        <w:tc>
          <w:tcPr>
            <w:tcW w:type="dxa" w:w="1728"/>
          </w:tcPr>
          <w:p>
            <w:r>
              <w:rPr>
                <w:rFonts w:ascii="Calibri" w:hAnsi="Calibri"/>
                <w:b/>
                <w:color w:val="E5484D"/>
                <w:sz w:val="22"/>
              </w:rPr>
              <w:t>Slight Miss</w:t>
            </w:r>
          </w:p>
        </w:tc>
      </w:tr>
      <w:tr>
        <w:tc>
          <w:tcPr>
            <w:tcW w:type="dxa" w:w="1728"/>
          </w:tcPr>
          <w:p>
            <w:r>
              <w:rPr>
                <w:rFonts w:ascii="Calibri" w:hAnsi="Calibri"/>
                <w:sz w:val="22"/>
              </w:rPr>
              <w:t>Q3 2025</w:t>
            </w:r>
          </w:p>
        </w:tc>
        <w:tc>
          <w:tcPr>
            <w:tcW w:type="dxa" w:w="1728"/>
          </w:tcPr>
          <w:p>
            <w:r>
              <w:rPr>
                <w:rFonts w:ascii="Calibri" w:hAnsi="Calibri"/>
                <w:sz w:val="22"/>
              </w:rPr>
              <w:t>$10.22B</w:t>
            </w:r>
          </w:p>
        </w:tc>
        <w:tc>
          <w:tcPr>
            <w:tcW w:type="dxa" w:w="1728"/>
          </w:tcPr>
          <w:p>
            <w:r>
              <w:rPr>
                <w:rFonts w:ascii="Calibri" w:hAnsi="Calibri"/>
                <w:sz w:val="22"/>
              </w:rPr>
              <w:t>$10.05B</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$9.72B</w:t>
            </w:r>
          </w:p>
        </w:tc>
        <w:tc>
          <w:tcPr>
            <w:tcW w:type="dxa" w:w="1728"/>
          </w:tcPr>
          <w:p>
            <w:r>
              <w:rPr>
                <w:rFonts w:ascii="Calibri" w:hAnsi="Calibri"/>
                <w:sz w:val="22"/>
              </w:rPr>
              <w:t>$9.35B</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$8.88B</w:t>
            </w:r>
          </w:p>
        </w:tc>
        <w:tc>
          <w:tcPr>
            <w:tcW w:type="dxa" w:w="1728"/>
          </w:tcPr>
          <w:p>
            <w:r>
              <w:rPr>
                <w:rFonts w:ascii="Calibri" w:hAnsi="Calibri"/>
                <w:sz w:val="22"/>
              </w:rPr>
              <w:t>$8.94B</w:t>
            </w:r>
          </w:p>
        </w:tc>
        <w:tc>
          <w:tcPr>
            <w:tcW w:type="dxa" w:w="1728"/>
          </w:tcPr>
          <w:p>
            <w:r>
              <w:rPr>
                <w:rFonts w:ascii="Calibri" w:hAnsi="Calibri"/>
                <w:b/>
                <w:color w:val="E5484D"/>
                <w:sz w:val="22"/>
              </w:rPr>
              <w:t>-0.7%</w:t>
            </w:r>
          </w:p>
        </w:tc>
        <w:tc>
          <w:tcPr>
            <w:tcW w:type="dxa" w:w="1728"/>
          </w:tcPr>
          <w:p>
            <w:r>
              <w:rPr>
                <w:rFonts w:ascii="Calibri" w:hAnsi="Calibri"/>
                <w:b/>
                <w:color w:val="E5484D"/>
                <w:sz w:val="22"/>
              </w:rPr>
              <w:t>Slight Miss</w:t>
            </w:r>
          </w:p>
        </w:tc>
      </w:tr>
      <w:tr>
        <w:tc>
          <w:tcPr>
            <w:tcW w:type="dxa" w:w="1728"/>
          </w:tcPr>
          <w:p>
            <w:r>
              <w:rPr>
                <w:rFonts w:ascii="Calibri" w:hAnsi="Calibri"/>
                <w:sz w:val="22"/>
              </w:rPr>
              <w:t>Q4 2024</w:t>
            </w:r>
          </w:p>
        </w:tc>
        <w:tc>
          <w:tcPr>
            <w:tcW w:type="dxa" w:w="1728"/>
          </w:tcPr>
          <w:p>
            <w:r>
              <w:rPr>
                <w:rFonts w:ascii="Calibri" w:hAnsi="Calibri"/>
                <w:sz w:val="22"/>
              </w:rPr>
              <w:t>$10.37B</w:t>
            </w:r>
          </w:p>
        </w:tc>
        <w:tc>
          <w:tcPr>
            <w:tcW w:type="dxa" w:w="1728"/>
          </w:tcPr>
          <w:p>
            <w:r>
              <w:rPr>
                <w:rFonts w:ascii="Calibri" w:hAnsi="Calibri"/>
                <w:sz w:val="22"/>
              </w:rPr>
              <w:t>$10.28B</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$9.00B</w:t>
            </w:r>
          </w:p>
        </w:tc>
        <w:tc>
          <w:tcPr>
            <w:tcW w:type="dxa" w:w="1728"/>
          </w:tcPr>
          <w:p>
            <w:r>
              <w:rPr>
                <w:rFonts w:ascii="Calibri" w:hAnsi="Calibri"/>
                <w:sz w:val="22"/>
              </w:rPr>
              <w:t>$8.77B</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$8.36B</w:t>
            </w:r>
          </w:p>
        </w:tc>
        <w:tc>
          <w:tcPr>
            <w:tcW w:type="dxa" w:w="1728"/>
          </w:tcPr>
          <w:p>
            <w:r>
              <w:rPr>
                <w:rFonts w:ascii="Calibri" w:hAnsi="Calibri"/>
                <w:sz w:val="22"/>
              </w:rPr>
              <w:t>$8.37B</w:t>
            </w:r>
          </w:p>
        </w:tc>
        <w:tc>
          <w:tcPr>
            <w:tcW w:type="dxa" w:w="1728"/>
          </w:tcPr>
          <w:p>
            <w:r>
              <w:rPr>
                <w:rFonts w:ascii="Calibri" w:hAnsi="Calibri"/>
                <w:sz w:val="22"/>
              </w:rPr>
              <w:t>-0.1%</w:t>
            </w:r>
          </w:p>
        </w:tc>
        <w:tc>
          <w:tcPr>
            <w:tcW w:type="dxa" w:w="1728"/>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Revenue beats are less consistent than EPS beats (6 of 8 quarters), with two slight misses in Q4 2025 and Q1 2025. Revenue is a less reliable signal given the high pass-through cost content in BOE; EPS is the more meaningful metric for CBRE.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FY2026 core EPS guidance on the Q1 call (April 23) and has issued no further revisions since. Tone remains constructively confident, with Q2 pipeline described as "stronger than expected" entering the quarter. No post-earnings 8-K or conference update has altered the guidance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Core EPS</w:t>
            </w:r>
          </w:p>
        </w:tc>
        <w:tc>
          <w:tcPr>
            <w:tcW w:type="dxa" w:w="1728"/>
          </w:tcPr>
          <w:p>
            <w:r>
              <w:rPr>
                <w:rFonts w:ascii="Calibri" w:hAnsi="Calibri"/>
                <w:sz w:val="22"/>
              </w:rPr>
              <w:t>$7.60–$7.80 (midpoint $7.70); &gt;20% growth</w:t>
            </w:r>
          </w:p>
        </w:tc>
        <w:tc>
          <w:tcPr>
            <w:tcW w:type="dxa" w:w="1728"/>
          </w:tcPr>
          <w:p>
            <w:r>
              <w:rPr>
                <w:rFonts w:ascii="Calibri" w:hAnsi="Calibri"/>
                <w:sz w:val="22"/>
              </w:rPr>
              <w:t>—</w:t>
            </w:r>
          </w:p>
        </w:tc>
        <w:tc>
          <w:tcPr>
            <w:tcW w:type="dxa" w:w="1728"/>
          </w:tcPr>
          <w:p>
            <w:r>
              <w:rPr>
                <w:rFonts w:ascii="Calibri" w:hAnsi="Calibri"/>
                <w:sz w:val="22"/>
              </w:rPr>
              <w:t>$7.72</w:t>
            </w:r>
          </w:p>
        </w:tc>
        <w:tc>
          <w:tcPr>
            <w:tcW w:type="dxa" w:w="1728"/>
          </w:tcPr>
          <w:p>
            <w:r>
              <w:rPr>
                <w:rFonts w:ascii="Calibri" w:hAnsi="Calibri"/>
                <w:sz w:val="22"/>
              </w:rPr>
              <w:t>Raised from $7.30–$7.60 at Q1 print; no post-earnings revision. Consensus essentially at midpoint.</w:t>
            </w:r>
          </w:p>
        </w:tc>
      </w:tr>
      <w:tr>
        <w:tc>
          <w:tcPr>
            <w:tcW w:type="dxa" w:w="1728"/>
          </w:tcPr>
          <w:p>
            <w:r>
              <w:rPr>
                <w:rFonts w:ascii="Calibri" w:hAnsi="Calibri"/>
                <w:sz w:val="22"/>
              </w:rPr>
              <w:t>Advisory SOP Growth (FY2026)</w:t>
            </w:r>
          </w:p>
        </w:tc>
        <w:tc>
          <w:tcPr>
            <w:tcW w:type="dxa" w:w="1728"/>
          </w:tcPr>
          <w:p>
            <w:r>
              <w:rPr>
                <w:rFonts w:ascii="Calibri" w:hAnsi="Calibri"/>
                <w:sz w:val="22"/>
              </w:rPr>
              <w:t>High-teens %</w:t>
            </w:r>
          </w:p>
        </w:tc>
        <w:tc>
          <w:tcPr>
            <w:tcW w:type="dxa" w:w="1728"/>
          </w:tcPr>
          <w:p>
            <w:r>
              <w:rPr>
                <w:rFonts w:ascii="Calibri" w:hAnsi="Calibri"/>
                <w:sz w:val="22"/>
              </w:rPr>
              <w:t>—</w:t>
            </w:r>
          </w:p>
        </w:tc>
        <w:tc>
          <w:tcPr>
            <w:tcW w:type="dxa" w:w="1728"/>
          </w:tcPr>
          <w:p>
            <w:r>
              <w:rPr>
                <w:rFonts w:ascii="Calibri" w:hAnsi="Calibri"/>
                <w:sz w:val="22"/>
              </w:rPr>
              <w:t>N/A (SOP not directly tracked in VA consensus)</w:t>
            </w:r>
          </w:p>
        </w:tc>
        <w:tc>
          <w:tcPr>
            <w:tcW w:type="dxa" w:w="1728"/>
          </w:tcPr>
          <w:p>
            <w:r>
              <w:rPr>
                <w:rFonts w:ascii="Calibri" w:hAnsi="Calibri"/>
                <w:sz w:val="22"/>
              </w:rPr>
              <w:t>Upgraded from prior guidance at Q1 call; margins described as near 2019 peak steady-state.</w:t>
            </w:r>
          </w:p>
        </w:tc>
      </w:tr>
      <w:tr>
        <w:tc>
          <w:tcPr>
            <w:tcW w:type="dxa" w:w="1728"/>
          </w:tcPr>
          <w:p>
            <w:r>
              <w:rPr>
                <w:rFonts w:ascii="Calibri" w:hAnsi="Calibri"/>
                <w:sz w:val="22"/>
              </w:rPr>
              <w:t>BOE SOP Growth (FY2026)</w:t>
            </w:r>
          </w:p>
        </w:tc>
        <w:tc>
          <w:tcPr>
            <w:tcW w:type="dxa" w:w="1728"/>
          </w:tcPr>
          <w:p>
            <w:r>
              <w:rPr>
                <w:rFonts w:ascii="Calibri" w:hAnsi="Calibri"/>
                <w:sz w:val="22"/>
              </w:rPr>
              <w:t>~25% (incl. cost reclassification benefit)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High-teens from underlying performance; remainder from lease cost reclassification (D&amp;A neutral to net income).</w:t>
            </w:r>
          </w:p>
        </w:tc>
      </w:tr>
      <w:tr>
        <w:tc>
          <w:tcPr>
            <w:tcW w:type="dxa" w:w="1728"/>
          </w:tcPr>
          <w:p>
            <w:r>
              <w:rPr>
                <w:rFonts w:ascii="Calibri" w:hAnsi="Calibri"/>
                <w:sz w:val="22"/>
              </w:rPr>
              <w:t>Critical Infrastructure Services Revenue Growth (FY2026)</w:t>
            </w:r>
          </w:p>
        </w:tc>
        <w:tc>
          <w:tcPr>
            <w:tcW w:type="dxa" w:w="1728"/>
          </w:tcPr>
          <w:p>
            <w:r>
              <w:rPr>
                <w:rFonts w:ascii="Calibri" w:hAnsi="Calibri"/>
                <w:sz w:val="22"/>
              </w:rPr>
              <w:t>&gt;60% YoY</w:t>
            </w:r>
          </w:p>
        </w:tc>
        <w:tc>
          <w:tcPr>
            <w:tcW w:type="dxa" w:w="1728"/>
          </w:tcPr>
          <w:p>
            <w:r>
              <w:rPr>
                <w:rFonts w:ascii="Calibri" w:hAnsi="Calibri"/>
                <w:sz w:val="22"/>
              </w:rPr>
              <w:t>—</w:t>
            </w:r>
          </w:p>
        </w:tc>
        <w:tc>
          <w:tcPr>
            <w:tcW w:type="dxa" w:w="1728"/>
          </w:tcPr>
          <w:p>
            <w:r>
              <w:rPr>
                <w:rFonts w:ascii="Calibri" w:hAnsi="Calibri"/>
                <w:sz w:val="22"/>
              </w:rPr>
              <w:t>N/A (sub-segment not in VA consensus)</w:t>
            </w:r>
          </w:p>
        </w:tc>
        <w:tc>
          <w:tcPr>
            <w:tcW w:type="dxa" w:w="1728"/>
          </w:tcPr>
          <w:p>
            <w:r>
              <w:rPr>
                <w:rFonts w:ascii="Calibri" w:hAnsi="Calibri"/>
                <w:sz w:val="22"/>
              </w:rPr>
              <w:t>Explicit management target; $1.7B in 2025, $580M in Q1 2026 alone.</w:t>
            </w:r>
          </w:p>
        </w:tc>
      </w:tr>
      <w:tr>
        <w:tc>
          <w:tcPr>
            <w:tcW w:type="dxa" w:w="1728"/>
          </w:tcPr>
          <w:p>
            <w:r>
              <w:rPr>
                <w:rFonts w:ascii="Calibri" w:hAnsi="Calibri"/>
                <w:sz w:val="22"/>
              </w:rPr>
              <w:t>Project Management &amp; REI SOP Growth (FY2026)</w:t>
            </w:r>
          </w:p>
        </w:tc>
        <w:tc>
          <w:tcPr>
            <w:tcW w:type="dxa" w:w="1728"/>
          </w:tcPr>
          <w:p>
            <w:r>
              <w:rPr>
                <w:rFonts w:ascii="Calibri" w:hAnsi="Calibri"/>
                <w:sz w:val="22"/>
              </w:rPr>
              <w:t>Unchanged from prior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at Q1 call; development profits pulled forward to Q1 from later quarters (no FY REI impact).</w:t>
            </w:r>
          </w:p>
        </w:tc>
      </w:tr>
      <w:tr>
        <w:tc>
          <w:tcPr>
            <w:tcW w:type="dxa" w:w="1728"/>
          </w:tcPr>
          <w:p>
            <w:r>
              <w:rPr>
                <w:rFonts w:ascii="Calibri" w:hAnsi="Calibri"/>
                <w:sz w:val="22"/>
              </w:rPr>
              <w:t>FCF Conversion (FY2026)</w:t>
            </w:r>
          </w:p>
        </w:tc>
        <w:tc>
          <w:tcPr>
            <w:tcW w:type="dxa" w:w="1728"/>
          </w:tcPr>
          <w:p>
            <w:r>
              <w:rPr>
                <w:rFonts w:ascii="Calibri" w:hAnsi="Calibri"/>
                <w:sz w:val="22"/>
              </w:rPr>
              <w:t>High end of 75–85% target range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Consistent with prior guidance; ~$1.7B TTM FCF as of Q1.</w:t>
            </w:r>
          </w:p>
        </w:tc>
      </w:tr>
      <w:tr>
        <w:tc>
          <w:tcPr>
            <w:tcW w:type="dxa" w:w="1728"/>
          </w:tcPr>
          <w:p>
            <w:r>
              <w:rPr>
                <w:rFonts w:ascii="Calibri" w:hAnsi="Calibri"/>
                <w:sz w:val="22"/>
              </w:rPr>
              <w:t>H1 2026 EPS Mix</w:t>
            </w:r>
          </w:p>
        </w:tc>
        <w:tc>
          <w:tcPr>
            <w:tcW w:type="dxa" w:w="1728"/>
          </w:tcPr>
          <w:p>
            <w:r>
              <w:rPr>
                <w:rFonts w:ascii="Calibri" w:hAnsi="Calibri"/>
                <w:sz w:val="22"/>
              </w:rPr>
              <w:t>~40% of FY EPS in H1 (above typical seasonality)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Flagged at Q1 call due to Trammell Crow pull-forward; implies H2 weighting is lower than historical norm.</w:t>
            </w:r>
          </w:p>
        </w:tc>
      </w:tr>
    </w:tbl>
    <w:p>
      <w:r>
        <w:rPr>
          <w:rFonts w:ascii="Calibri" w:hAnsi="Calibri"/>
          <w:i/>
          <w:color w:val="525866"/>
          <w:sz w:val="22"/>
        </w:rPr>
        <w:t>Source: CBRE Q1 2026 Earnings Call Transcript (April 23, 2026); CBRE Q1 2026 Earnings Release (April 23,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post-Q1 baseline across all key KPIs, but the magnitude is small (1–3%) and consensus remains broadly aligned with management's FY guidance midpoint. The drift likely reflects macro caution and the Trammell Crow pull-forward dynamic rather than fundamental deterioration — the gap represents </w:t>
      </w:r>
      <w:r>
        <w:rPr>
          <w:rFonts w:ascii="Calibri" w:hAnsi="Calibri"/>
          <w:b/>
          <w:color w:val="525866"/>
          <w:sz w:val="22"/>
        </w:rPr>
        <w:t>cushion rather than risk</w:t>
      </w:r>
      <w:r>
        <w:rPr>
          <w:rFonts w:ascii="Calibri" w:hAnsi="Calibri"/>
          <w:color w:val="525866"/>
          <w:sz w:val="22"/>
        </w:rPr>
        <w:t xml:space="preserve"> if Q2 execution is solid.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Estimate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Diluted (Q2 2026)</w:t>
            </w:r>
          </w:p>
        </w:tc>
        <w:tc>
          <w:tcPr>
            <w:tcW w:type="dxa" w:w="1080"/>
          </w:tcPr>
          <w:p>
            <w:r>
              <w:rPr>
                <w:rFonts w:ascii="Calibri" w:hAnsi="Calibri"/>
                <w:sz w:val="22"/>
              </w:rPr>
              <w:t>$1.52</w:t>
            </w:r>
          </w:p>
        </w:tc>
        <w:tc>
          <w:tcPr>
            <w:tcW w:type="dxa" w:w="1080"/>
          </w:tcPr>
          <w:p>
            <w:r>
              <w:rPr>
                <w:rFonts w:ascii="Calibri" w:hAnsi="Calibri"/>
                <w:sz w:val="22"/>
              </w:rPr>
              <w:t>$1.48</w:t>
            </w:r>
          </w:p>
        </w:tc>
        <w:tc>
          <w:tcPr>
            <w:tcW w:type="dxa" w:w="1080"/>
          </w:tcPr>
          <w:p>
            <w:r>
              <w:rPr>
                <w:rFonts w:ascii="Calibri" w:hAnsi="Calibri"/>
                <w:b/>
                <w:color w:val="E5484D"/>
                <w:sz w:val="22"/>
              </w:rPr>
              <w:t>-2.5%</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Diluted (FY2026)</w:t>
            </w:r>
          </w:p>
        </w:tc>
        <w:tc>
          <w:tcPr>
            <w:tcW w:type="dxa" w:w="1080"/>
          </w:tcPr>
          <w:p>
            <w:r>
              <w:rPr>
                <w:rFonts w:ascii="Calibri" w:hAnsi="Calibri"/>
                <w:sz w:val="22"/>
              </w:rPr>
              <w:t>$7.76</w:t>
            </w:r>
          </w:p>
        </w:tc>
        <w:tc>
          <w:tcPr>
            <w:tcW w:type="dxa" w:w="1080"/>
          </w:tcPr>
          <w:p>
            <w:r>
              <w:rPr>
                <w:rFonts w:ascii="Calibri" w:hAnsi="Calibri"/>
                <w:sz w:val="22"/>
              </w:rPr>
              <w:t>$7.72</w:t>
            </w:r>
          </w:p>
        </w:tc>
        <w:tc>
          <w:tcPr>
            <w:tcW w:type="dxa" w:w="1080"/>
          </w:tcPr>
          <w:p>
            <w:r>
              <w:rPr>
                <w:rFonts w:ascii="Calibri" w:hAnsi="Calibri"/>
                <w:b/>
                <w:color w:val="E5484D"/>
                <w:sz w:val="22"/>
              </w:rPr>
              <w:t>-0.5%</w:t>
            </w:r>
          </w:p>
        </w:tc>
        <w:tc>
          <w:tcPr>
            <w:tcW w:type="dxa" w:w="1080"/>
          </w:tcPr>
          <w:p>
            <w:r>
              <w:rPr>
                <w:rFonts w:ascii="Calibri" w:hAnsi="Calibri"/>
                <w:sz w:val="22"/>
              </w:rPr>
              <w:t>$7.60–$7.80 (midpoint $7.70)</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+0.3% above midpoint</w:t>
            </w:r>
          </w:p>
        </w:tc>
      </w:tr>
      <w:tr>
        <w:tc>
          <w:tcPr>
            <w:tcW w:type="dxa" w:w="1080"/>
          </w:tcPr>
          <w:p>
            <w:r>
              <w:rPr>
                <w:rFonts w:ascii="Calibri" w:hAnsi="Calibri"/>
                <w:sz w:val="22"/>
              </w:rPr>
              <w:t>Total Revenue (Q2 2026)</w:t>
            </w:r>
          </w:p>
        </w:tc>
        <w:tc>
          <w:tcPr>
            <w:tcW w:type="dxa" w:w="1080"/>
          </w:tcPr>
          <w:p>
            <w:r>
              <w:rPr>
                <w:rFonts w:ascii="Calibri" w:hAnsi="Calibri"/>
                <w:sz w:val="22"/>
              </w:rPr>
              <w:t>$11.36B</w:t>
            </w:r>
          </w:p>
        </w:tc>
        <w:tc>
          <w:tcPr>
            <w:tcW w:type="dxa" w:w="1080"/>
          </w:tcPr>
          <w:p>
            <w:r>
              <w:rPr>
                <w:rFonts w:ascii="Calibri" w:hAnsi="Calibri"/>
                <w:sz w:val="22"/>
              </w:rPr>
              <w:t>$11.24B</w:t>
            </w:r>
          </w:p>
        </w:tc>
        <w:tc>
          <w:tcPr>
            <w:tcW w:type="dxa" w:w="1080"/>
          </w:tcPr>
          <w:p>
            <w:r>
              <w:rPr>
                <w:rFonts w:ascii="Calibri" w:hAnsi="Calibri"/>
                <w:b/>
                <w:color w:val="E5484D"/>
                <w:sz w:val="22"/>
              </w:rPr>
              <w:t>-1.1%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$47.11B</w:t>
            </w:r>
          </w:p>
        </w:tc>
        <w:tc>
          <w:tcPr>
            <w:tcW w:type="dxa" w:w="1080"/>
          </w:tcPr>
          <w:p>
            <w:r>
              <w:rPr>
                <w:rFonts w:ascii="Calibri" w:hAnsi="Calibri"/>
                <w:sz w:val="22"/>
              </w:rPr>
              <w:t>$46.83B</w:t>
            </w:r>
          </w:p>
        </w:tc>
        <w:tc>
          <w:tcPr>
            <w:tcW w:type="dxa" w:w="1080"/>
          </w:tcPr>
          <w:p>
            <w:r>
              <w:rPr>
                <w:rFonts w:ascii="Calibri" w:hAnsi="Calibri"/>
                <w:b/>
                <w:color w:val="E5484D"/>
                <w:sz w:val="22"/>
              </w:rPr>
              <w:t>-0.6%</w:t>
            </w:r>
          </w:p>
        </w:tc>
        <w:tc>
          <w:tcPr>
            <w:tcW w:type="dxa" w:w="1080"/>
          </w:tcPr>
          <w:p>
            <w:r>
              <w:rPr>
                <w:rFonts w:ascii="Calibri" w:hAnsi="Calibri"/>
                <w:sz w:val="22"/>
              </w:rPr>
              <w:t>No specific FY revenue guidance</w:t>
            </w:r>
          </w:p>
        </w:tc>
        <w:tc>
          <w:tcPr>
            <w:tcW w:type="dxa" w:w="1080"/>
          </w:tcPr>
          <w:p>
            <w:r>
              <w:rPr>
                <w:rFonts w:ascii="Calibri" w:hAnsi="Calibri"/>
                <w:sz w:val="22"/>
              </w:rPr>
              <w:t>No specific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Advisory Services Revenue (Q2 2026)</w:t>
            </w:r>
          </w:p>
        </w:tc>
        <w:tc>
          <w:tcPr>
            <w:tcW w:type="dxa" w:w="1080"/>
          </w:tcPr>
          <w:p>
            <w:r>
              <w:rPr>
                <w:rFonts w:ascii="Calibri" w:hAnsi="Calibri"/>
                <w:sz w:val="22"/>
              </w:rPr>
              <w:t>$2.23B</w:t>
            </w:r>
          </w:p>
        </w:tc>
        <w:tc>
          <w:tcPr>
            <w:tcW w:type="dxa" w:w="1080"/>
          </w:tcPr>
          <w:p>
            <w:r>
              <w:rPr>
                <w:rFonts w:ascii="Calibri" w:hAnsi="Calibri"/>
                <w:sz w:val="22"/>
              </w:rPr>
              <w:t>$2.23B</w:t>
            </w:r>
          </w:p>
        </w:tc>
        <w:tc>
          <w:tcPr>
            <w:tcW w:type="dxa" w:w="1080"/>
          </w:tcPr>
          <w:p>
            <w:r>
              <w:rPr>
                <w:rFonts w:ascii="Calibri" w:hAnsi="Calibri"/>
                <w:sz w:val="22"/>
              </w:rPr>
              <w:t>~0%</w:t>
            </w:r>
          </w:p>
        </w:tc>
        <w:tc>
          <w:tcPr>
            <w:tcW w:type="dxa" w:w="1080"/>
          </w:tcPr>
          <w:p>
            <w:r>
              <w:rPr>
                <w:rFonts w:ascii="Calibri" w:hAnsi="Calibri"/>
                <w:sz w:val="22"/>
              </w:rPr>
              <w:t>High-teens SOP growth (FY)</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N/A — SOP guidance</w:t>
            </w:r>
          </w:p>
        </w:tc>
      </w:tr>
      <w:tr>
        <w:tc>
          <w:tcPr>
            <w:tcW w:type="dxa" w:w="1080"/>
          </w:tcPr>
          <w:p>
            <w:r>
              <w:rPr>
                <w:rFonts w:ascii="Calibri" w:hAnsi="Calibri"/>
                <w:sz w:val="22"/>
              </w:rPr>
              <w:t>Adjusted EBITDA (Q2 2026)</w:t>
            </w:r>
          </w:p>
        </w:tc>
        <w:tc>
          <w:tcPr>
            <w:tcW w:type="dxa" w:w="1080"/>
          </w:tcPr>
          <w:p>
            <w:r>
              <w:rPr>
                <w:rFonts w:ascii="Calibri" w:hAnsi="Calibri"/>
                <w:sz w:val="22"/>
              </w:rPr>
              <w:t>$797M</w:t>
            </w:r>
          </w:p>
        </w:tc>
        <w:tc>
          <w:tcPr>
            <w:tcW w:type="dxa" w:w="1080"/>
          </w:tcPr>
          <w:p>
            <w:r>
              <w:rPr>
                <w:rFonts w:ascii="Calibri" w:hAnsi="Calibri"/>
                <w:sz w:val="22"/>
              </w:rPr>
              <w:t>$765M</w:t>
            </w:r>
          </w:p>
        </w:tc>
        <w:tc>
          <w:tcPr>
            <w:tcW w:type="dxa" w:w="1080"/>
          </w:tcPr>
          <w:p>
            <w:r>
              <w:rPr>
                <w:rFonts w:ascii="Calibri" w:hAnsi="Calibri"/>
                <w:b/>
                <w:color w:val="E5484D"/>
                <w:sz w:val="22"/>
              </w:rPr>
              <w:t>-4.0%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(FY2026)</w:t>
            </w:r>
          </w:p>
        </w:tc>
        <w:tc>
          <w:tcPr>
            <w:tcW w:type="dxa" w:w="1080"/>
          </w:tcPr>
          <w:p>
            <w:r>
              <w:rPr>
                <w:rFonts w:ascii="Calibri" w:hAnsi="Calibri"/>
                <w:sz w:val="22"/>
              </w:rPr>
              <w:t>$3.81B</w:t>
            </w:r>
          </w:p>
        </w:tc>
        <w:tc>
          <w:tcPr>
            <w:tcW w:type="dxa" w:w="1080"/>
          </w:tcPr>
          <w:p>
            <w:r>
              <w:rPr>
                <w:rFonts w:ascii="Calibri" w:hAnsi="Calibri"/>
                <w:sz w:val="22"/>
              </w:rPr>
              <w:t>$3.74B</w:t>
            </w:r>
          </w:p>
        </w:tc>
        <w:tc>
          <w:tcPr>
            <w:tcW w:type="dxa" w:w="1080"/>
          </w:tcPr>
          <w:p>
            <w:r>
              <w:rPr>
                <w:rFonts w:ascii="Calibri" w:hAnsi="Calibri"/>
                <w:b/>
                <w:color w:val="E5484D"/>
                <w:sz w:val="22"/>
              </w:rPr>
              <w:t>-1.8%</w:t>
            </w:r>
          </w:p>
        </w:tc>
        <w:tc>
          <w:tcPr>
            <w:tcW w:type="dxa" w:w="1080"/>
          </w:tcPr>
          <w:p>
            <w:r>
              <w:rPr>
                <w:rFonts w:ascii="Calibri" w:hAnsi="Calibri"/>
                <w:sz w:val="22"/>
              </w:rPr>
              <w:t>No specific FY EBITDA guidance</w:t>
            </w:r>
          </w:p>
        </w:tc>
        <w:tc>
          <w:tcPr>
            <w:tcW w:type="dxa" w:w="1080"/>
          </w:tcPr>
          <w:p>
            <w:r>
              <w:rPr>
                <w:rFonts w:ascii="Calibri" w:hAnsi="Calibri"/>
                <w:sz w:val="22"/>
              </w:rPr>
              <w:t>No specific FY EBITDA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modest downward drift in Q2 EBITDA estimates (-4.0%) is the most notable revision and likely reflects the market adjusting for the Trammell Crow pull-forward effect (development profits shifted from later quarters into Q1). FY2026 EPS consensus of $7.72 sits essentially at the guidance midpoint of $7.70, suggesting the Street is not pricing in meaningful upside or downside to guidance.</w:t>
      </w:r>
    </w:p>
    <w:p>
      <w:r>
        <w:rPr>
          <w:rFonts w:ascii="Calibri" w:hAnsi="Calibri"/>
          <w:i/>
          <w:color w:val="525866"/>
          <w:sz w:val="22"/>
        </w:rPr>
        <w:t>Source: Visible Alpha Consensus and Actuals Data. Post-Q1 baseline uses April 30, 2026 as-of date (approximately 5 trading days post-print).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CBRE has meaningfully underperformed both XLRE and the S&amp;P 500 since the Q1 print, driven almost entirely by </w:t>
      </w:r>
      <w:r>
        <w:rPr>
          <w:rFonts w:ascii="Calibri" w:hAnsi="Calibri"/>
          <w:b/>
          <w:color w:val="525866"/>
          <w:sz w:val="22"/>
        </w:rPr>
        <w:t>multiple compression</w:t>
      </w:r>
      <w:r>
        <w:rPr>
          <w:rFonts w:ascii="Calibri" w:hAnsi="Calibri"/>
          <w:color w:val="525866"/>
          <w:sz w:val="22"/>
        </w:rPr>
        <w:t xml:space="preserve"> (NTM P/E contracted from ~25x to ~21x over six months) rather than estimate cuts. The stock's underperformance despite a guidance raise creates a potentially attractive setup heading into Q2 earnings.</w:t>
      </w:r>
    </w:p>
    <w:p>
      <w:r>
        <w:rPr>
          <w:rFonts w:ascii="Calibri" w:hAnsi="Calibri"/>
          <w:color w:val="525866"/>
          <w:sz w:val="22"/>
        </w:rPr>
        <w:t>Since the Q1 2026 earnings date (April 23, 2026), CBRE is down approximately -1.5% on an indexed basis vs. XLRE +4.1% and S&amp;P 500 +4.3% (as of July 28, 2026). The stock hit a trough of ~$124 in early June before recovering to ~$144 by late July. The underperformance is notable given the guidance raise and strong Q1 beat, and appears driven by macro uncertainty (tariff concerns, interest rate sensitivity) and the market's skepticism about whether Q1's exceptional infrastructure growth pace is sustainable. The NTM EV/EBITDA multiple has compressed from ~14.2x six months ago to ~12.2x today, a -14% contraction that has more than offset modest estimate revisions.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CBRE vs. XLRE vs. S&amp;P 500 — Indexed to 100 at Q1 2026 Earnings Date (April 23, 2026). Source: Yahoo Finance / Stock Price Data.</w:t>
      </w:r>
    </w:p>
    <w:p>
      <w:r>
        <w:rPr>
          <w:rFonts w:ascii="Calibri" w:hAnsi="Calibri"/>
          <w:b/>
          <w:color w:val="525866"/>
          <w:sz w:val="22"/>
        </w:rPr>
        <w:t>Valuation Context: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Multiple</w:t>
            </w:r>
          </w:p>
        </w:tc>
        <w:tc>
          <w:tcPr>
            <w:tcW w:type="dxa" w:w="2160"/>
            <w:shd w:val="clear" w:color="auto" w:fill="3B4259"/>
          </w:tcPr>
          <w:p>
            <w:r>
              <w:rPr>
                <w:rFonts w:ascii="Calibri" w:hAnsi="Calibri"/>
                <w:b/>
                <w:color w:val="FFFFFF"/>
                <w:sz w:val="22"/>
              </w:rPr>
              <w:t>Current (NTM)</w:t>
            </w:r>
          </w:p>
        </w:tc>
        <w:tc>
          <w:tcPr>
            <w:tcW w:type="dxa" w:w="2160"/>
            <w:shd w:val="clear" w:color="auto" w:fill="3B4259"/>
          </w:tcPr>
          <w:p>
            <w:r>
              <w:rPr>
                <w:rFonts w:ascii="Calibri" w:hAnsi="Calibri"/>
                <w:b/>
                <w:color w:val="FFFFFF"/>
                <w:sz w:val="22"/>
              </w:rPr>
              <w:t>6 Months Ago</w:t>
            </w:r>
          </w:p>
        </w:tc>
        <w:tc>
          <w:tcPr>
            <w:tcW w:type="dxa" w:w="2160"/>
            <w:shd w:val="clear" w:color="auto" w:fill="3B4259"/>
          </w:tcPr>
          <w:p>
            <w:r>
              <w:rPr>
                <w:rFonts w:ascii="Calibri" w:hAnsi="Calibri"/>
                <w:b/>
                <w:color w:val="FFFFFF"/>
                <w:sz w:val="22"/>
              </w:rPr>
              <w:t>Change</w:t>
            </w:r>
          </w:p>
        </w:tc>
      </w:tr>
      <w:tr>
        <w:tc>
          <w:tcPr>
            <w:tcW w:type="dxa" w:w="2160"/>
          </w:tcPr>
          <w:p>
            <w:r>
              <w:rPr>
                <w:rFonts w:ascii="Calibri" w:hAnsi="Calibri"/>
                <w:sz w:val="22"/>
              </w:rPr>
              <w:t>EV / EBITDA</w:t>
            </w:r>
          </w:p>
        </w:tc>
        <w:tc>
          <w:tcPr>
            <w:tcW w:type="dxa" w:w="2160"/>
          </w:tcPr>
          <w:p>
            <w:r>
              <w:rPr>
                <w:rFonts w:ascii="Calibri" w:hAnsi="Calibri"/>
                <w:sz w:val="22"/>
              </w:rPr>
              <w:t>12.2x</w:t>
            </w:r>
          </w:p>
        </w:tc>
        <w:tc>
          <w:tcPr>
            <w:tcW w:type="dxa" w:w="2160"/>
          </w:tcPr>
          <w:p>
            <w:r>
              <w:rPr>
                <w:rFonts w:ascii="Calibri" w:hAnsi="Calibri"/>
                <w:sz w:val="22"/>
              </w:rPr>
              <w:t>14.2x</w:t>
            </w:r>
          </w:p>
        </w:tc>
        <w:tc>
          <w:tcPr>
            <w:tcW w:type="dxa" w:w="2160"/>
          </w:tcPr>
          <w:p>
            <w:r>
              <w:rPr>
                <w:rFonts w:ascii="Calibri" w:hAnsi="Calibri"/>
                <w:b/>
                <w:color w:val="E5484D"/>
                <w:sz w:val="22"/>
              </w:rPr>
              <w:t>-14.5%</w:t>
            </w:r>
          </w:p>
        </w:tc>
      </w:tr>
      <w:tr>
        <w:tc>
          <w:tcPr>
            <w:tcW w:type="dxa" w:w="2160"/>
          </w:tcPr>
          <w:p>
            <w:r>
              <w:rPr>
                <w:rFonts w:ascii="Calibri" w:hAnsi="Calibri"/>
                <w:sz w:val="22"/>
              </w:rPr>
              <w:t>P / E (NTM)</w:t>
            </w:r>
          </w:p>
        </w:tc>
        <w:tc>
          <w:tcPr>
            <w:tcW w:type="dxa" w:w="2160"/>
          </w:tcPr>
          <w:p>
            <w:r>
              <w:rPr>
                <w:rFonts w:ascii="Calibri" w:hAnsi="Calibri"/>
                <w:sz w:val="22"/>
              </w:rPr>
              <w:t>20.6x</w:t>
            </w:r>
          </w:p>
        </w:tc>
        <w:tc>
          <w:tcPr>
            <w:tcW w:type="dxa" w:w="2160"/>
          </w:tcPr>
          <w:p>
            <w:r>
              <w:rPr>
                <w:rFonts w:ascii="Calibri" w:hAnsi="Calibri"/>
                <w:sz w:val="22"/>
              </w:rPr>
              <w:t>25.4x</w:t>
            </w:r>
          </w:p>
        </w:tc>
        <w:tc>
          <w:tcPr>
            <w:tcW w:type="dxa" w:w="2160"/>
          </w:tcPr>
          <w:p>
            <w:r>
              <w:rPr>
                <w:rFonts w:ascii="Calibri" w:hAnsi="Calibri"/>
                <w:b/>
                <w:color w:val="E5484D"/>
                <w:sz w:val="22"/>
              </w:rPr>
              <w:t>-18.9%</w:t>
            </w:r>
          </w:p>
        </w:tc>
      </w:tr>
      <w:tr>
        <w:tc>
          <w:tcPr>
            <w:tcW w:type="dxa" w:w="2160"/>
          </w:tcPr>
          <w:p>
            <w:r>
              <w:rPr>
                <w:rFonts w:ascii="Calibri" w:hAnsi="Calibri"/>
                <w:sz w:val="22"/>
              </w:rPr>
              <w:t>EV / Sales</w:t>
            </w:r>
          </w:p>
        </w:tc>
        <w:tc>
          <w:tcPr>
            <w:tcW w:type="dxa" w:w="2160"/>
          </w:tcPr>
          <w:p>
            <w:r>
              <w:rPr>
                <w:rFonts w:ascii="Calibri" w:hAnsi="Calibri"/>
                <w:sz w:val="22"/>
              </w:rPr>
              <w:t>0.96x</w:t>
            </w:r>
          </w:p>
        </w:tc>
        <w:tc>
          <w:tcPr>
            <w:tcW w:type="dxa" w:w="2160"/>
          </w:tcPr>
          <w:p>
            <w:r>
              <w:rPr>
                <w:rFonts w:ascii="Calibri" w:hAnsi="Calibri"/>
                <w:sz w:val="22"/>
              </w:rPr>
              <w:t>1.17x</w:t>
            </w:r>
          </w:p>
        </w:tc>
        <w:tc>
          <w:tcPr>
            <w:tcW w:type="dxa" w:w="2160"/>
          </w:tcPr>
          <w:p>
            <w:r>
              <w:rPr>
                <w:rFonts w:ascii="Calibri" w:hAnsi="Calibri"/>
                <w:b/>
                <w:color w:val="E5484D"/>
                <w:sz w:val="22"/>
              </w:rPr>
              <w:t>-17.6%</w:t>
            </w:r>
          </w:p>
        </w:tc>
      </w:tr>
    </w:tbl>
    <w:p>
      <w:r>
        <w:rPr>
          <w:rFonts w:ascii="Calibri" w:hAnsi="Calibri"/>
          <w:i/>
          <w:color w:val="525866"/>
          <w:sz w:val="22"/>
        </w:rPr>
        <w:t>Source: Stock Price Data (Yahoo Finance); Valuation multiples from Implied platform stock performance decomposition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is limited but directionally positive for CBRE. CoStar's Q2 2026 results (reported July 28) confirm healthy CRE demand and accelerating broker engagement. JLL's investment arm commentary (June 30) signals strong conviction in industrial leasing. Cushman &amp; Wakefield's debt refinancing activity (June) is balance-sheet-specific and not a demand read-through.</w:t>
      </w:r>
    </w:p>
    <w:p>
      <w:r>
        <w:rPr>
          <w:rFonts w:ascii="Calibri" w:hAnsi="Calibri"/>
          <w:b/>
          <w:i/>
          <w:color w:val="525866"/>
          <w:sz w:val="22"/>
        </w:rPr>
        <w:t xml:space="preserve">Scope Note: </w:t>
      </w:r>
      <w:r>
        <w:rPr>
          <w:rFonts w:ascii="Calibri" w:hAnsi="Calibri"/>
          <w:i/>
          <w:color w:val="525866"/>
          <w:sz w:val="22"/>
        </w:rPr>
        <w:t>Only commentary from the last 60 days (on or after May 28, 2026) that addresses Q2 2026 conditions is included below. Q1 2026 earnings commentary from peers (reported in April/May) is excluded as it reflects the prior quarter's results, not the current reporting period.</w:t>
      </w:r>
    </w:p>
    <w:p>
      <w:pPr>
        <w:pStyle w:val="Heading3"/>
      </w:pPr>
      <w:r>
        <w:rPr>
          <w:rFonts w:ascii="Calibri" w:hAnsi="Calibri"/>
          <w:b/>
          <w:color w:val="3B4259"/>
          <w:sz w:val="24"/>
        </w:rPr>
        <w:t>CoStar Group (CSGP) — Q2 2026 Earnings (Reported July 28, 2026)</w:t>
      </w:r>
    </w:p>
    <w:p>
      <w:r>
        <w:rPr>
          <w:rFonts w:ascii="Calibri" w:hAnsi="Calibri"/>
          <w:b/>
          <w:color w:val="525866"/>
          <w:sz w:val="22"/>
        </w:rPr>
        <w:t xml:space="preserve">Relevance: </w:t>
      </w:r>
      <w:r>
        <w:rPr>
          <w:rFonts w:ascii="Calibri" w:hAnsi="Calibri"/>
          <w:color w:val="525866"/>
          <w:sz w:val="22"/>
        </w:rPr>
        <w:t>CoStar is the leading CRE data and marketplace platform; its results are a direct read on broker activity, leasing demand, and capital markets engagement.</w:t>
      </w:r>
    </w:p>
    <w:p>
      <w:pPr>
        <w:pStyle w:val="ListBullet"/>
        <w:ind w:left="360" w:hanging="360"/>
      </w:pPr>
      <w:r>
        <w:rPr>
          <w:rFonts w:ascii="Calibri" w:hAnsi="Calibri"/>
          <w:color w:val="525866"/>
          <w:sz w:val="22"/>
        </w:rPr>
        <w:t xml:space="preserve">CRE platform revenue grew 8% YoY to $481M in Q2 2026, with Adjusted EBITDA of $172M (36% margin, above guidance). </w:t>
      </w:r>
      <w:r>
        <w:rPr>
          <w:rFonts w:ascii="Calibri" w:hAnsi="Calibri"/>
          <w:b/>
          <w:color w:val="525866"/>
          <w:sz w:val="22"/>
        </w:rPr>
        <w:t>Net new bookings to brokers surged 48% YoY</w:t>
      </w:r>
      <w:r>
        <w:rPr>
          <w:rFonts w:ascii="Calibri" w:hAnsi="Calibri"/>
          <w:color w:val="525866"/>
          <w:sz w:val="22"/>
        </w:rPr>
        <w:t>, including a multi-year renewal with CoStar's largest brokerage client — a direct positive read-through for CBRE's Advisory segment, which relies on the same broker ecosystem.</w:t>
      </w:r>
    </w:p>
    <w:p>
      <w:pPr>
        <w:pStyle w:val="ListBullet"/>
        <w:ind w:left="360" w:hanging="360"/>
      </w:pPr>
      <w:r>
        <w:rPr>
          <w:rFonts w:ascii="Calibri" w:hAnsi="Calibri"/>
          <w:color w:val="525866"/>
          <w:sz w:val="22"/>
        </w:rPr>
        <w:t xml:space="preserve">CoStar platform subscribers grew 19% YoY to 327,000, with contract renewal rates of 89% overall (94% for 5+ year customers). </w:t>
      </w:r>
      <w:r>
        <w:rPr>
          <w:rFonts w:ascii="Calibri" w:hAnsi="Calibri"/>
          <w:b/>
          <w:color w:val="525866"/>
          <w:sz w:val="22"/>
        </w:rPr>
        <w:t>Accelerating broker engagement suggests healthy underlying leasing and transaction activity</w:t>
      </w:r>
      <w:r>
        <w:rPr>
          <w:rFonts w:ascii="Calibri" w:hAnsi="Calibri"/>
          <w:color w:val="525866"/>
          <w:sz w:val="22"/>
        </w:rPr>
        <w:t xml:space="preserve"> heading into CBRE's Q2 print.</w:t>
      </w:r>
    </w:p>
    <w:p>
      <w:pPr>
        <w:pStyle w:val="ListBullet"/>
        <w:ind w:left="360" w:hanging="360"/>
      </w:pPr>
      <w:r>
        <w:rPr>
          <w:rFonts w:ascii="Calibri" w:hAnsi="Calibri"/>
          <w:color w:val="525866"/>
          <w:sz w:val="22"/>
        </w:rPr>
        <w:t xml:space="preserve">LoopNet revenue grew 14% YoY to $87M, with paid listings up 9% in the U.S. and 24%/52% in Canada/UK. </w:t>
      </w:r>
      <w:r>
        <w:rPr>
          <w:rFonts w:ascii="Calibri" w:hAnsi="Calibri"/>
          <w:b/>
          <w:color w:val="525866"/>
          <w:sz w:val="22"/>
        </w:rPr>
        <w:t>Paid listing growth is a leading indicator of commercial property transaction and leasing activity</w:t>
      </w:r>
      <w:r>
        <w:rPr>
          <w:rFonts w:ascii="Calibri" w:hAnsi="Calibri"/>
          <w:color w:val="525866"/>
          <w:sz w:val="22"/>
        </w:rPr>
        <w:t xml:space="preserve"> — positive for CBRE's capital markets and leasing businesses.</w:t>
      </w:r>
    </w:p>
    <w:p>
      <w:pPr>
        <w:pStyle w:val="ListBullet"/>
        <w:ind w:left="360" w:hanging="360"/>
      </w:pPr>
      <w:r>
        <w:rPr>
          <w:rFonts w:ascii="Calibri" w:hAnsi="Calibri"/>
          <w:color w:val="525866"/>
          <w:sz w:val="22"/>
        </w:rPr>
        <w:t xml:space="preserve">CoStar Debt Solutions had its "best quarter ever" with net new monthly bookings up 96% YoY, serving 300 lender clients on $1.2T+ in outstanding debt. </w:t>
      </w:r>
      <w:r>
        <w:rPr>
          <w:rFonts w:ascii="Calibri" w:hAnsi="Calibri"/>
          <w:b/>
          <w:color w:val="525866"/>
          <w:sz w:val="22"/>
        </w:rPr>
        <w:t>Exceptional debt solutions growth signals active capital markets engagement</w:t>
      </w:r>
      <w:r>
        <w:rPr>
          <w:rFonts w:ascii="Calibri" w:hAnsi="Calibri"/>
          <w:color w:val="525866"/>
          <w:sz w:val="22"/>
        </w:rPr>
        <w:t xml:space="preserve"> and lender appetite — supportive of CBRE's mortgage origination business.</w:t>
      </w:r>
    </w:p>
    <w:p>
      <w:pPr>
        <w:pStyle w:val="ListBullet"/>
        <w:ind w:left="360" w:hanging="360"/>
      </w:pPr>
      <w:r>
        <w:rPr>
          <w:rFonts w:ascii="Calibri" w:hAnsi="Calibri"/>
          <w:color w:val="525866"/>
          <w:sz w:val="22"/>
        </w:rPr>
        <w:t>Ten-X (transactional platform) saw lower transaction volumes, contributing to a $4M revenue decline during restructuring. This is a minor negative read-through for CRE transaction volumes, though Ten-X is a small and restructuring business.</w:t>
      </w:r>
    </w:p>
    <w:p>
      <w:pPr>
        <w:pStyle w:val="ListBullet"/>
        <w:ind w:left="360" w:hanging="360"/>
      </w:pPr>
      <w:r>
        <w:rPr>
          <w:rFonts w:ascii="Calibri" w:hAnsi="Calibri"/>
          <w:color w:val="525866"/>
          <w:sz w:val="22"/>
        </w:rPr>
        <w:t xml:space="preserve">CoStar launched in France (Q2) and expanded in the UK, with a major global investor noting it was their "first time ever" getting absorption data for Paris. </w:t>
      </w:r>
      <w:r>
        <w:rPr>
          <w:rFonts w:ascii="Calibri" w:hAnsi="Calibri"/>
          <w:b/>
          <w:color w:val="525866"/>
          <w:sz w:val="22"/>
        </w:rPr>
        <w:t>International CRE market expansion is consistent with CBRE's own international leasing growth narrative</w:t>
      </w:r>
      <w:r>
        <w:rPr>
          <w:rFonts w:ascii="Calibri" w:hAnsi="Calibri"/>
          <w:color w:val="525866"/>
          <w:sz w:val="22"/>
        </w:rPr>
        <w:t xml:space="preserve"> (APAC up 24%, EMEA mid-single digits in Q1).</w:t>
      </w:r>
    </w:p>
    <w:p>
      <w:r>
        <w:rPr>
          <w:rFonts w:ascii="Calibri" w:hAnsi="Calibri"/>
          <w:i/>
          <w:color w:val="525866"/>
          <w:sz w:val="22"/>
        </w:rPr>
        <w:t>Source: CoStar Group Q2 2026 Earnings Release and Earnings Call Transcript (July 28, 2026).</w:t>
      </w:r>
    </w:p>
    <w:p>
      <w:pPr>
        <w:pStyle w:val="Heading3"/>
      </w:pPr>
      <w:r>
        <w:rPr>
          <w:rFonts w:ascii="Calibri" w:hAnsi="Calibri"/>
          <w:b/>
          <w:color w:val="3B4259"/>
          <w:sz w:val="24"/>
        </w:rPr>
        <w:t>JLL (Jones Lang LaSalle) — Investment Arm Commentary (June 30, 2026)</w:t>
      </w:r>
    </w:p>
    <w:p>
      <w:r>
        <w:rPr>
          <w:rFonts w:ascii="Calibri" w:hAnsi="Calibri"/>
          <w:b/>
          <w:color w:val="525866"/>
          <w:sz w:val="22"/>
        </w:rPr>
        <w:t xml:space="preserve">Relevance: </w:t>
      </w:r>
      <w:r>
        <w:rPr>
          <w:rFonts w:ascii="Calibri" w:hAnsi="Calibri"/>
          <w:color w:val="525866"/>
          <w:sz w:val="22"/>
        </w:rPr>
        <w:t>JLL is CBRE's closest direct peer in CRE services. JLL's investment arm commentary on sector allocation and leasing trends is a direct read-through for CBRE's Advisory and BOE segments.</w:t>
      </w:r>
    </w:p>
    <w:p>
      <w:pPr>
        <w:pStyle w:val="ListBullet"/>
        <w:ind w:left="360" w:hanging="360"/>
      </w:pPr>
      <w:r>
        <w:rPr>
          <w:rFonts w:ascii="Calibri" w:hAnsi="Calibri"/>
          <w:color w:val="525866"/>
          <w:sz w:val="22"/>
        </w:rPr>
        <w:t xml:space="preserve">JLL Income Property Trust (JLL IPT) made industrial real estate its </w:t>
      </w:r>
      <w:r>
        <w:rPr>
          <w:rFonts w:ascii="Calibri" w:hAnsi="Calibri"/>
          <w:b/>
          <w:color w:val="525866"/>
          <w:sz w:val="22"/>
        </w:rPr>
        <w:t>largest portfolio allocation at 38%</w:t>
      </w:r>
      <w:r>
        <w:rPr>
          <w:rFonts w:ascii="Calibri" w:hAnsi="Calibri"/>
          <w:color w:val="525866"/>
          <w:sz w:val="22"/>
        </w:rPr>
        <w:t>, recently surpassing residential. CEO Allan Swaringen described himself as "bullish" on industrial, citing new opportunities and returns now better than multifamily.</w:t>
      </w:r>
    </w:p>
    <w:p>
      <w:pPr>
        <w:pStyle w:val="ListBullet"/>
        <w:ind w:left="360" w:hanging="360"/>
      </w:pPr>
      <w:r>
        <w:rPr>
          <w:rFonts w:ascii="Calibri" w:hAnsi="Calibri"/>
          <w:color w:val="525866"/>
          <w:sz w:val="22"/>
        </w:rPr>
        <w:t xml:space="preserve">JLL data shows </w:t>
      </w:r>
      <w:r>
        <w:rPr>
          <w:rFonts w:ascii="Calibri" w:hAnsi="Calibri"/>
          <w:b/>
          <w:color w:val="525866"/>
          <w:sz w:val="22"/>
        </w:rPr>
        <w:t>industrial leasing rose 17.8% YoY in Q1 2026</w:t>
      </w:r>
      <w:r>
        <w:rPr>
          <w:rFonts w:ascii="Calibri" w:hAnsi="Calibri"/>
          <w:color w:val="525866"/>
          <w:sz w:val="22"/>
        </w:rPr>
        <w:t xml:space="preserve"> — consistent with CBRE's own Q1 report of 24% U.S. industrial leasing growth. The JLL data point corroborates that industrial leasing strength was broad-based and not CBRE-specific, supporting the likelihood of continued strength in Q2.</w:t>
      </w:r>
    </w:p>
    <w:p>
      <w:pPr>
        <w:pStyle w:val="ListBullet"/>
        <w:ind w:left="360" w:hanging="360"/>
      </w:pPr>
      <w:r>
        <w:rPr>
          <w:rFonts w:ascii="Calibri" w:hAnsi="Calibri"/>
          <w:color w:val="525866"/>
          <w:sz w:val="22"/>
        </w:rPr>
        <w:t xml:space="preserve">JLL's strategic shift toward industrial reflects the same secular tailwinds (supply constraints, occupier demand ahead of tightening supply) that CBRE management cited on its Q1 call. </w:t>
      </w:r>
      <w:r>
        <w:rPr>
          <w:rFonts w:ascii="Calibri" w:hAnsi="Calibri"/>
          <w:b/>
          <w:color w:val="525866"/>
          <w:sz w:val="22"/>
        </w:rPr>
        <w:t>This is a constructive read-through for CBRE's industrial leasing and property management businesses.</w:t>
      </w:r>
    </w:p>
    <w:p>
      <w:r>
        <w:rPr>
          <w:rFonts w:ascii="Calibri" w:hAnsi="Calibri"/>
          <w:i/>
          <w:color w:val="525866"/>
          <w:sz w:val="22"/>
        </w:rPr>
        <w:t>Source: CNBC / JLL Investment Arm article (June 30, 2026).</w:t>
      </w:r>
    </w:p>
    <w:p>
      <w:pPr>
        <w:pStyle w:val="Heading3"/>
      </w:pPr>
      <w:r>
        <w:rPr>
          <w:rFonts w:ascii="Calibri" w:hAnsi="Calibri"/>
          <w:b/>
          <w:color w:val="3B4259"/>
          <w:sz w:val="24"/>
        </w:rPr>
        <w:t>Cushman &amp; Wakefield (CWK) — Debt Refinancing (June 4–15, 2026)</w:t>
      </w:r>
    </w:p>
    <w:p>
      <w:r>
        <w:rPr>
          <w:rFonts w:ascii="Calibri" w:hAnsi="Calibri"/>
          <w:b/>
          <w:color w:val="525866"/>
          <w:sz w:val="22"/>
        </w:rPr>
        <w:t xml:space="preserve">Relevance: </w:t>
      </w:r>
      <w:r>
        <w:rPr>
          <w:rFonts w:ascii="Calibri" w:hAnsi="Calibri"/>
          <w:color w:val="525866"/>
          <w:sz w:val="22"/>
        </w:rPr>
        <w:t>CWK is a direct CBRE competitor in CRE services. Its Q2 2026 activity was focused on balance sheet management rather than operational commentary.</w:t>
      </w:r>
    </w:p>
    <w:p>
      <w:pPr>
        <w:pStyle w:val="ListBullet"/>
        <w:ind w:left="360" w:hanging="360"/>
      </w:pPr>
      <w:r>
        <w:rPr>
          <w:rFonts w:ascii="Calibri" w:hAnsi="Calibri"/>
          <w:color w:val="525866"/>
          <w:sz w:val="22"/>
        </w:rPr>
        <w:t>CWK amended its credit agreement (effective June 12, 2026), extending ~$848M of term loans to 2033 and upsizing by ~$353M. It also partially redeemed $350M of its 6.75% Senior Secured Notes due 2028 (completed June 15, 2026).</w:t>
      </w:r>
    </w:p>
    <w:p>
      <w:pPr>
        <w:pStyle w:val="ListBullet"/>
        <w:ind w:left="360" w:hanging="360"/>
      </w:pPr>
      <w:r>
        <w:rPr>
          <w:rFonts w:ascii="Calibri" w:hAnsi="Calibri"/>
          <w:color w:val="525866"/>
          <w:sz w:val="22"/>
        </w:rPr>
        <w:t xml:space="preserve">This is a </w:t>
      </w:r>
      <w:r>
        <w:rPr>
          <w:rFonts w:ascii="Calibri" w:hAnsi="Calibri"/>
          <w:b/>
          <w:color w:val="525866"/>
          <w:sz w:val="22"/>
        </w:rPr>
        <w:t>balance-sheet-specific action with no direct read-through to CRE demand or CBRE's operating performance</w:t>
      </w:r>
      <w:r>
        <w:rPr>
          <w:rFonts w:ascii="Calibri" w:hAnsi="Calibri"/>
          <w:color w:val="525866"/>
          <w:sz w:val="22"/>
        </w:rPr>
        <w:t>. It does signal that CWK is actively managing its debt maturity profile, which may reflect confidence in its business outlook, but provides no specific Q2 demand signal.</w:t>
      </w:r>
    </w:p>
    <w:p>
      <w:r>
        <w:rPr>
          <w:rFonts w:ascii="Calibri" w:hAnsi="Calibri"/>
          <w:i/>
          <w:color w:val="525866"/>
          <w:sz w:val="22"/>
        </w:rPr>
        <w:t>Source: Cushman &amp; Wakefield 8-K filings (June 4 and June 12, 2026).</w:t>
      </w:r>
    </w:p>
    <w:p>
      <w:pPr>
        <w:pStyle w:val="Heading3"/>
      </w:pPr>
      <w:r>
        <w:rPr>
          <w:rFonts w:ascii="Calibri" w:hAnsi="Calibri"/>
          <w:b/>
          <w:color w:val="3B4259"/>
          <w:sz w:val="24"/>
        </w:rPr>
        <w:t>Peers Not Yet Reported / Limited Q2 Commentary Available</w:t>
      </w:r>
    </w:p>
    <w:p>
      <w:pPr>
        <w:pStyle w:val="ListBullet"/>
        <w:ind w:left="360" w:hanging="360"/>
      </w:pPr>
      <w:r>
        <w:rPr>
          <w:rFonts w:ascii="Calibri" w:hAnsi="Calibri"/>
          <w:b/>
          <w:color w:val="525866"/>
          <w:sz w:val="22"/>
        </w:rPr>
        <w:t xml:space="preserve">JLL (Q2 2026 Earnings Call): </w:t>
      </w:r>
      <w:r>
        <w:rPr>
          <w:rFonts w:ascii="Calibri" w:hAnsi="Calibri"/>
          <w:color w:val="525866"/>
          <w:sz w:val="22"/>
        </w:rPr>
        <w:t>Scheduled July 30, 2026 — not yet reported as of this preview. No Q2 operational commentary available.</w:t>
      </w:r>
    </w:p>
    <w:p>
      <w:pPr>
        <w:pStyle w:val="ListBullet"/>
        <w:ind w:left="360" w:hanging="360"/>
      </w:pPr>
      <w:r>
        <w:rPr>
          <w:rFonts w:ascii="Calibri" w:hAnsi="Calibri"/>
          <w:b/>
          <w:color w:val="525866"/>
          <w:sz w:val="22"/>
        </w:rPr>
        <w:t xml:space="preserve">Newmark Group (NMRK): </w:t>
      </w:r>
      <w:r>
        <w:rPr>
          <w:rFonts w:ascii="Calibri" w:hAnsi="Calibri"/>
          <w:color w:val="525866"/>
          <w:sz w:val="22"/>
        </w:rPr>
        <w:t>Q2 2026 Earnings Call scheduled July 29, 2026 — not yet reported.</w:t>
      </w:r>
    </w:p>
    <w:p>
      <w:pPr>
        <w:pStyle w:val="ListBullet"/>
        <w:ind w:left="360" w:hanging="360"/>
      </w:pPr>
      <w:r>
        <w:rPr>
          <w:rFonts w:ascii="Calibri" w:hAnsi="Calibri"/>
          <w:b/>
          <w:color w:val="525866"/>
          <w:sz w:val="22"/>
        </w:rPr>
        <w:t xml:space="preserve">Marcus &amp; Millichap (MMI): </w:t>
      </w:r>
      <w:r>
        <w:rPr>
          <w:rFonts w:ascii="Calibri" w:hAnsi="Calibri"/>
          <w:color w:val="525866"/>
          <w:sz w:val="22"/>
        </w:rPr>
        <w:t>Q2 2026 Earnings Call scheduled August 6, 2026 — not yet reported.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CBRE's new $1B revolving credit facility (June 23), which strengthens liquidity ahead of potential M&amp;A or continued buybacks. No operational pre-announcements or guidance revisions have been issued since the Q1 call.</w:t>
      </w:r>
    </w:p>
    <w:p>
      <w:pPr>
        <w:pStyle w:val="ListBullet"/>
        <w:ind w:left="360" w:hanging="360"/>
      </w:pPr>
      <w:r>
        <w:rPr>
          <w:rFonts w:ascii="Calibri" w:hAnsi="Calibri"/>
          <w:b/>
          <w:color w:val="525866"/>
          <w:sz w:val="22"/>
        </w:rPr>
        <w:t xml:space="preserve">June 23, 2026 — New $1B Revolving Credit Facility (8-K): </w:t>
      </w:r>
      <w:r>
        <w:rPr>
          <w:rFonts w:ascii="Calibri" w:hAnsi="Calibri"/>
          <w:color w:val="525866"/>
          <w:sz w:val="22"/>
        </w:rPr>
        <w:t xml:space="preserve">CBRE Services, Inc. entered into a new 364-day senior unsecured revolving credit facility with Wells Fargo as administrative agent, replacing the prior facility that matured June 23, 2026. The facility matures June 22, 2027, bears interest at Term SOFR + 0.645%–1.125% (depending on credit rating), and carries a facility fee of 0.055%–0.125%. </w:t>
      </w:r>
      <w:r>
        <w:rPr>
          <w:rFonts w:ascii="Calibri" w:hAnsi="Calibri"/>
          <w:b/>
          <w:color w:val="525866"/>
          <w:sz w:val="22"/>
        </w:rPr>
        <w:t xml:space="preserve">Implication: </w:t>
      </w:r>
      <w:r>
        <w:rPr>
          <w:rFonts w:ascii="Calibri" w:hAnsi="Calibri"/>
          <w:color w:val="525866"/>
          <w:sz w:val="22"/>
        </w:rPr>
        <w:t>Routine refinancing that maintains CBRE's liquidity cushion; no change to financial leverage or capital allocation strategy. Effective date: June 23, 2026.</w:t>
      </w:r>
    </w:p>
    <w:p>
      <w:pPr>
        <w:pStyle w:val="ListBullet"/>
        <w:ind w:left="360" w:hanging="360"/>
      </w:pPr>
      <w:r>
        <w:rPr>
          <w:rFonts w:ascii="Calibri" w:hAnsi="Calibri"/>
          <w:b/>
          <w:color w:val="525866"/>
          <w:sz w:val="22"/>
        </w:rPr>
        <w:t xml:space="preserve">April 23, 2026 — Q1 2026 Earnings: FY2026 Guidance Raised: </w:t>
      </w:r>
      <w:r>
        <w:rPr>
          <w:rFonts w:ascii="Calibri" w:hAnsi="Calibri"/>
          <w:color w:val="525866"/>
          <w:sz w:val="22"/>
        </w:rPr>
        <w:t xml:space="preserve">Core EPS guidance raised to $7.60–$7.80 from $7.30–$7.60. Management cited Q1 outperformance, early Q2 momentum, and strong pipelines. </w:t>
      </w:r>
      <w:r>
        <w:rPr>
          <w:rFonts w:ascii="Calibri" w:hAnsi="Calibri"/>
          <w:b/>
          <w:color w:val="525866"/>
          <w:sz w:val="22"/>
        </w:rPr>
        <w:t xml:space="preserve">Implication: </w:t>
      </w:r>
      <w:r>
        <w:rPr>
          <w:rFonts w:ascii="Calibri" w:hAnsi="Calibri"/>
          <w:color w:val="525866"/>
          <w:sz w:val="22"/>
        </w:rPr>
        <w:t>The guidance raise was the primary catalyst post-Q1; the stock's muted reaction (+0% on earnings day) suggests the market had partially anticipated the beat.</w:t>
      </w:r>
    </w:p>
    <w:p>
      <w:pPr>
        <w:pStyle w:val="ListBullet"/>
        <w:ind w:left="360" w:hanging="360"/>
      </w:pPr>
      <w:r>
        <w:rPr>
          <w:rFonts w:ascii="Calibri" w:hAnsi="Calibri"/>
          <w:b/>
          <w:color w:val="525866"/>
          <w:sz w:val="22"/>
        </w:rPr>
        <w:t xml:space="preserve">April 23, 2026 — Share Repurchases (~$540M YTD): </w:t>
      </w:r>
      <w:r>
        <w:rPr>
          <w:rFonts w:ascii="Calibri" w:hAnsi="Calibri"/>
          <w:color w:val="525866"/>
          <w:sz w:val="22"/>
        </w:rPr>
        <w:t xml:space="preserve">As of April 21, 2026, CBRE had repurchased nearly $540M of shares YTD at an average price of ~$148. Management reiterated conviction that the stock is undervalued relative to its long-term growth trajectory. </w:t>
      </w:r>
      <w:r>
        <w:rPr>
          <w:rFonts w:ascii="Calibri" w:hAnsi="Calibri"/>
          <w:b/>
          <w:color w:val="525866"/>
          <w:sz w:val="22"/>
        </w:rPr>
        <w:t xml:space="preserve">Implication: </w:t>
      </w:r>
      <w:r>
        <w:rPr>
          <w:rFonts w:ascii="Calibri" w:hAnsi="Calibri"/>
          <w:color w:val="525866"/>
          <w:sz w:val="22"/>
        </w:rPr>
        <w:t>Aggressive buyback activity at prices well above current levels (~$144) signals management's continued confidence; also provides EPS support.</w:t>
      </w:r>
    </w:p>
    <w:p>
      <w:pPr>
        <w:pStyle w:val="ListBullet"/>
        <w:ind w:left="360" w:hanging="360"/>
      </w:pPr>
      <w:r>
        <w:rPr>
          <w:rFonts w:ascii="Calibri" w:hAnsi="Calibri"/>
          <w:b/>
          <w:color w:val="525866"/>
          <w:sz w:val="22"/>
        </w:rPr>
        <w:t xml:space="preserve">April 23, 2026 — Financial Reporting Reclassification (Effective Q1 2026): </w:t>
      </w:r>
      <w:r>
        <w:rPr>
          <w:rFonts w:ascii="Calibri" w:hAnsi="Calibri"/>
          <w:color w:val="525866"/>
          <w:sz w:val="22"/>
        </w:rPr>
        <w:t xml:space="preserve">Fleet vehicle lease costs reclassified from cost of services to D&amp;A (disclosed in March 24, 2026 8-K; effective Q1 2026). This inflates BOE SOP growth by ~6–7 percentage points but is neutral to net income. Prior periods recast. </w:t>
      </w:r>
      <w:r>
        <w:rPr>
          <w:rFonts w:ascii="Calibri" w:hAnsi="Calibri"/>
          <w:b/>
          <w:color w:val="525866"/>
          <w:sz w:val="22"/>
        </w:rPr>
        <w:t xml:space="preserve">Implication: </w:t>
      </w:r>
      <w:r>
        <w:rPr>
          <w:rFonts w:ascii="Calibri" w:hAnsi="Calibri"/>
          <w:color w:val="525866"/>
          <w:sz w:val="22"/>
        </w:rPr>
        <w:t>Investors should be aware that BOE's ~25% SOP growth guidance includes this accounting benefit; underlying BOE growth is high-teens.</w:t>
      </w:r>
    </w:p>
    <w:p>
      <w:pPr>
        <w:pStyle w:val="ListBullet"/>
        <w:ind w:left="360" w:hanging="360"/>
      </w:pPr>
      <w:r>
        <w:rPr>
          <w:rFonts w:ascii="Calibri" w:hAnsi="Calibri"/>
          <w:b/>
          <w:color w:val="525866"/>
          <w:sz w:val="22"/>
        </w:rPr>
        <w:t xml:space="preserve">Q1 2026 — Trammell Crow Land Development Pull-Forward: </w:t>
      </w:r>
      <w:r>
        <w:rPr>
          <w:rFonts w:ascii="Calibri" w:hAnsi="Calibri"/>
          <w:color w:val="525866"/>
          <w:sz w:val="22"/>
        </w:rPr>
        <w:t xml:space="preserve">Data center land development profits were delivered earlier than anticipated in Q1 ($145M REI operating profit). Management confirmed no change to FY REI guidance, meaning H2 development profits will be lower than originally planned. </w:t>
      </w:r>
      <w:r>
        <w:rPr>
          <w:rFonts w:ascii="Calibri" w:hAnsi="Calibri"/>
          <w:b/>
          <w:color w:val="525866"/>
          <w:sz w:val="22"/>
        </w:rPr>
        <w:t xml:space="preserve">Implication: </w:t>
      </w:r>
      <w:r>
        <w:rPr>
          <w:rFonts w:ascii="Calibri" w:hAnsi="Calibri"/>
          <w:color w:val="525866"/>
          <w:sz w:val="22"/>
        </w:rPr>
        <w:t>Q2 REI segment will likely show a step-down from Q1's exceptional level; this is known and should be in consensus.</w:t>
      </w:r>
    </w:p>
    <w:p>
      <w:pPr>
        <w:pStyle w:val="ListBullet"/>
        <w:ind w:left="360" w:hanging="360"/>
      </w:pPr>
      <w:r>
        <w:rPr>
          <w:rFonts w:ascii="Calibri" w:hAnsi="Calibri"/>
          <w:b/>
          <w:color w:val="525866"/>
          <w:sz w:val="22"/>
        </w:rPr>
        <w:t xml:space="preserve">November 2025 — Pearce Services Acquisition (Integration Update): </w:t>
      </w:r>
      <w:r>
        <w:rPr>
          <w:rFonts w:ascii="Calibri" w:hAnsi="Calibri"/>
          <w:color w:val="525866"/>
          <w:sz w:val="22"/>
        </w:rPr>
        <w:t xml:space="preserve">Pearce (telecom tower and renewable energy asset maintenance) is performing in line with expectations, with &gt;$600M in 2026 revenue forecasted. Revenue is seasonal (weather-dependent for cell towers, wind farms, solar). </w:t>
      </w:r>
      <w:r>
        <w:rPr>
          <w:rFonts w:ascii="Calibri" w:hAnsi="Calibri"/>
          <w:b/>
          <w:color w:val="525866"/>
          <w:sz w:val="22"/>
        </w:rPr>
        <w:t xml:space="preserve">Implication: </w:t>
      </w:r>
      <w:r>
        <w:rPr>
          <w:rFonts w:ascii="Calibri" w:hAnsi="Calibri"/>
          <w:color w:val="525866"/>
          <w:sz w:val="22"/>
        </w:rPr>
        <w:t>Pearce's seasonal pattern means Q2 revenue contribution may differ from Q1's $580M critical infrastructure services total; management flagged this explicitly.</w:t>
      </w:r>
    </w:p>
    <w:p>
      <w:pPr>
        <w:pStyle w:val="ListBullet"/>
        <w:ind w:left="360" w:hanging="360"/>
      </w:pPr>
      <w:r>
        <w:rPr>
          <w:rFonts w:ascii="Calibri" w:hAnsi="Calibri"/>
          <w:b/>
          <w:color w:val="525866"/>
          <w:sz w:val="22"/>
        </w:rPr>
        <w:t xml:space="preserve">Ongoing — Data Center Solutions Expansion: </w:t>
      </w:r>
      <w:r>
        <w:rPr>
          <w:rFonts w:ascii="Calibri" w:hAnsi="Calibri"/>
          <w:color w:val="525866"/>
          <w:sz w:val="22"/>
        </w:rPr>
        <w:t xml:space="preserve">CBRE created a dedicated Critical Infrastructure Services business line within BOE (data centers, telecom, power). Revenue was $1.7B in 2025 and $580M in Q1 2026 alone, with &gt;60% growth expected for FY2026. A new training partnership with Meta to recruit and place technical workers for data center operations was highlighted. </w:t>
      </w:r>
      <w:r>
        <w:rPr>
          <w:rFonts w:ascii="Calibri" w:hAnsi="Calibri"/>
          <w:b/>
          <w:color w:val="525866"/>
          <w:sz w:val="22"/>
        </w:rPr>
        <w:t xml:space="preserve">Implication: </w:t>
      </w:r>
      <w:r>
        <w:rPr>
          <w:rFonts w:ascii="Calibri" w:hAnsi="Calibri"/>
          <w:color w:val="525866"/>
          <w:sz w:val="22"/>
        </w:rPr>
        <w:t>This is the single most important secular growth driver; any Q2 update on pipeline or revenue trajectory will be closely watched.</w:t>
      </w:r>
    </w:p>
    <w:p>
      <w:pPr>
        <w:pStyle w:val="ListBullet"/>
        <w:ind w:left="360" w:hanging="360"/>
      </w:pPr>
      <w:r>
        <w:rPr>
          <w:rFonts w:ascii="Calibri" w:hAnsi="Calibri"/>
          <w:b/>
          <w:color w:val="525866"/>
          <w:sz w:val="22"/>
        </w:rPr>
        <w:t xml:space="preserve">Ongoing — Industrious Expansion: </w:t>
      </w:r>
      <w:r>
        <w:rPr>
          <w:rFonts w:ascii="Calibri" w:hAnsi="Calibri"/>
          <w:color w:val="525866"/>
          <w:sz w:val="22"/>
        </w:rPr>
        <w:t xml:space="preserve">Flexible workspace unit additions are exceeding underwriting expectations. Management expressed strong enthusiasm for the business model. </w:t>
      </w:r>
      <w:r>
        <w:rPr>
          <w:rFonts w:ascii="Calibri" w:hAnsi="Calibri"/>
          <w:b/>
          <w:color w:val="525866"/>
          <w:sz w:val="22"/>
        </w:rPr>
        <w:t xml:space="preserve">Implication: </w:t>
      </w:r>
      <w:r>
        <w:rPr>
          <w:rFonts w:ascii="Calibri" w:hAnsi="Calibri"/>
          <w:color w:val="525866"/>
          <w:sz w:val="22"/>
        </w:rPr>
        <w:t>Positive for property management revenue within BOE; watch for any Q2 update on unit count and occupancy.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insider sales were filed in May 2026, both under pre-established 10b5-1 plans — routine and obligation-driven. No open-market purchases or discretionary sales were identified. </w:t>
      </w:r>
      <w:r>
        <w:rPr>
          <w:rFonts w:ascii="Calibri" w:hAnsi="Calibri"/>
          <w:b/>
          <w:color w:val="525866"/>
          <w:sz w:val="22"/>
        </w:rPr>
        <w:t>Nothing notable to flag.</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Name</w:t>
            </w:r>
          </w:p>
        </w:tc>
        <w:tc>
          <w:tcPr>
            <w:tcW w:type="dxa" w:w="960"/>
            <w:shd w:val="clear" w:color="auto" w:fill="3B4259"/>
          </w:tcPr>
          <w:p>
            <w:r>
              <w:rPr>
                <w:rFonts w:ascii="Calibri" w:hAnsi="Calibri"/>
                <w:b/>
                <w:color w:val="FFFFFF"/>
                <w:sz w:val="22"/>
              </w:rPr>
              <w:t>Title</w:t>
            </w:r>
          </w:p>
        </w:tc>
        <w:tc>
          <w:tcPr>
            <w:tcW w:type="dxa" w:w="960"/>
            <w:shd w:val="clear" w:color="auto" w:fill="3B4259"/>
          </w:tcPr>
          <w:p>
            <w:r>
              <w:rPr>
                <w:rFonts w:ascii="Calibri" w:hAnsi="Calibri"/>
                <w:b/>
                <w:color w:val="FFFFFF"/>
                <w:sz w:val="22"/>
              </w:rPr>
              <w:t>Transaction 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Price</w:t>
            </w:r>
          </w:p>
        </w:tc>
        <w:tc>
          <w:tcPr>
            <w:tcW w:type="dxa" w:w="960"/>
            <w:shd w:val="clear" w:color="auto" w:fill="3B4259"/>
          </w:tcPr>
          <w:p>
            <w:r>
              <w:rPr>
                <w:rFonts w:ascii="Calibri" w:hAnsi="Calibri"/>
                <w:b/>
                <w:color w:val="FFFFFF"/>
                <w:sz w:val="22"/>
              </w:rPr>
              <w:t>Value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Note</w:t>
            </w:r>
          </w:p>
        </w:tc>
      </w:tr>
      <w:tr>
        <w:tc>
          <w:tcPr>
            <w:tcW w:type="dxa" w:w="960"/>
          </w:tcPr>
          <w:p>
            <w:r>
              <w:rPr>
                <w:rFonts w:ascii="Calibri" w:hAnsi="Calibri"/>
                <w:sz w:val="22"/>
              </w:rPr>
              <w:t>Emma E. Giamartino</w:t>
            </w:r>
          </w:p>
        </w:tc>
        <w:tc>
          <w:tcPr>
            <w:tcW w:type="dxa" w:w="960"/>
          </w:tcPr>
          <w:p>
            <w:r>
              <w:rPr>
                <w:rFonts w:ascii="Calibri" w:hAnsi="Calibri"/>
                <w:sz w:val="22"/>
              </w:rPr>
              <w:t>CFO &amp; Chief Investment Officer</w:t>
            </w:r>
          </w:p>
        </w:tc>
        <w:tc>
          <w:tcPr>
            <w:tcW w:type="dxa" w:w="960"/>
          </w:tcPr>
          <w:p>
            <w:r>
              <w:rPr>
                <w:rFonts w:ascii="Calibri" w:hAnsi="Calibri"/>
                <w:sz w:val="22"/>
              </w:rPr>
              <w:t>10b5-1 Planned Sale</w:t>
            </w:r>
          </w:p>
        </w:tc>
        <w:tc>
          <w:tcPr>
            <w:tcW w:type="dxa" w:w="960"/>
          </w:tcPr>
          <w:p>
            <w:r>
              <w:rPr>
                <w:rFonts w:ascii="Calibri" w:hAnsi="Calibri"/>
                <w:sz w:val="22"/>
              </w:rPr>
              <w:t>2,250</w:t>
            </w:r>
          </w:p>
        </w:tc>
        <w:tc>
          <w:tcPr>
            <w:tcW w:type="dxa" w:w="960"/>
          </w:tcPr>
          <w:p>
            <w:r>
              <w:rPr>
                <w:rFonts w:ascii="Calibri" w:hAnsi="Calibri"/>
                <w:sz w:val="22"/>
              </w:rPr>
              <w:t>$130.74</w:t>
            </w:r>
          </w:p>
        </w:tc>
        <w:tc>
          <w:tcPr>
            <w:tcW w:type="dxa" w:w="960"/>
          </w:tcPr>
          <w:p>
            <w:r>
              <w:rPr>
                <w:rFonts w:ascii="Calibri" w:hAnsi="Calibri"/>
                <w:sz w:val="22"/>
              </w:rPr>
              <w:t>~$294K</w:t>
            </w:r>
          </w:p>
        </w:tc>
        <w:tc>
          <w:tcPr>
            <w:tcW w:type="dxa" w:w="960"/>
          </w:tcPr>
          <w:p>
            <w:r>
              <w:rPr>
                <w:rFonts w:ascii="Calibri" w:hAnsi="Calibri"/>
                <w:sz w:val="22"/>
              </w:rPr>
              <w:t>May 15, 2026</w:t>
            </w:r>
          </w:p>
        </w:tc>
        <w:tc>
          <w:tcPr>
            <w:tcW w:type="dxa" w:w="960"/>
          </w:tcPr>
          <w:p>
            <w:r>
              <w:rPr>
                <w:rFonts w:ascii="Calibri" w:hAnsi="Calibri"/>
                <w:sz w:val="22"/>
              </w:rPr>
              <w:t>May 18, 2026</w:t>
            </w:r>
          </w:p>
        </w:tc>
        <w:tc>
          <w:tcPr>
            <w:tcW w:type="dxa" w:w="960"/>
          </w:tcPr>
          <w:p>
            <w:r>
              <w:rPr>
                <w:rFonts w:ascii="Calibri" w:hAnsi="Calibri"/>
                <w:sz w:val="22"/>
              </w:rPr>
              <w:t>Pre-planned 10b5-1 sale; routine / obligation-driven</w:t>
            </w:r>
          </w:p>
        </w:tc>
      </w:tr>
      <w:tr>
        <w:tc>
          <w:tcPr>
            <w:tcW w:type="dxa" w:w="960"/>
          </w:tcPr>
          <w:p>
            <w:r>
              <w:rPr>
                <w:rFonts w:ascii="Calibri" w:hAnsi="Calibri"/>
                <w:sz w:val="22"/>
              </w:rPr>
              <w:t>Chad J. Doellinger</w:t>
            </w:r>
          </w:p>
        </w:tc>
        <w:tc>
          <w:tcPr>
            <w:tcW w:type="dxa" w:w="960"/>
          </w:tcPr>
          <w:p>
            <w:r>
              <w:rPr>
                <w:rFonts w:ascii="Calibri" w:hAnsi="Calibri"/>
                <w:sz w:val="22"/>
              </w:rPr>
              <w:t>Chief Legal &amp; Admin. Officer</w:t>
            </w:r>
          </w:p>
        </w:tc>
        <w:tc>
          <w:tcPr>
            <w:tcW w:type="dxa" w:w="960"/>
          </w:tcPr>
          <w:p>
            <w:r>
              <w:rPr>
                <w:rFonts w:ascii="Calibri" w:hAnsi="Calibri"/>
                <w:sz w:val="22"/>
              </w:rPr>
              <w:t>10b5-1 Planned Sale</w:t>
            </w:r>
          </w:p>
        </w:tc>
        <w:tc>
          <w:tcPr>
            <w:tcW w:type="dxa" w:w="960"/>
          </w:tcPr>
          <w:p>
            <w:r>
              <w:rPr>
                <w:rFonts w:ascii="Calibri" w:hAnsi="Calibri"/>
                <w:sz w:val="22"/>
              </w:rPr>
              <w:t>107</w:t>
            </w:r>
          </w:p>
        </w:tc>
        <w:tc>
          <w:tcPr>
            <w:tcW w:type="dxa" w:w="960"/>
          </w:tcPr>
          <w:p>
            <w:r>
              <w:rPr>
                <w:rFonts w:ascii="Calibri" w:hAnsi="Calibri"/>
                <w:sz w:val="22"/>
              </w:rPr>
              <w:t>$140.35</w:t>
            </w:r>
          </w:p>
        </w:tc>
        <w:tc>
          <w:tcPr>
            <w:tcW w:type="dxa" w:w="960"/>
          </w:tcPr>
          <w:p>
            <w:r>
              <w:rPr>
                <w:rFonts w:ascii="Calibri" w:hAnsi="Calibri"/>
                <w:sz w:val="22"/>
              </w:rPr>
              <w:t>~$15K</w:t>
            </w:r>
          </w:p>
        </w:tc>
        <w:tc>
          <w:tcPr>
            <w:tcW w:type="dxa" w:w="960"/>
          </w:tcPr>
          <w:p>
            <w:r>
              <w:rPr>
                <w:rFonts w:ascii="Calibri" w:hAnsi="Calibri"/>
                <w:sz w:val="22"/>
              </w:rPr>
              <w:t>May 5, 2026</w:t>
            </w:r>
          </w:p>
        </w:tc>
        <w:tc>
          <w:tcPr>
            <w:tcW w:type="dxa" w:w="960"/>
          </w:tcPr>
          <w:p>
            <w:r>
              <w:rPr>
                <w:rFonts w:ascii="Calibri" w:hAnsi="Calibri"/>
                <w:sz w:val="22"/>
              </w:rPr>
              <w:t>May 5, 2026</w:t>
            </w:r>
          </w:p>
        </w:tc>
        <w:tc>
          <w:tcPr>
            <w:tcW w:type="dxa" w:w="960"/>
          </w:tcPr>
          <w:p>
            <w:r>
              <w:rPr>
                <w:rFonts w:ascii="Calibri" w:hAnsi="Calibri"/>
                <w:sz w:val="22"/>
              </w:rPr>
              <w:t>Pre-planned 10b5-1 sale; de minimis size</w:t>
            </w:r>
          </w:p>
        </w:tc>
      </w:tr>
    </w:tbl>
    <w:p>
      <w:r>
        <w:rPr>
          <w:rFonts w:ascii="Calibri" w:hAnsi="Calibri"/>
          <w:color w:val="525866"/>
          <w:sz w:val="22"/>
        </w:rPr>
        <w:t>Both transactions were executed under Rule 10b5-1(c) pre-planned trading programs. The CFO sale of 2,250 shares (~$294K) is small relative to her remaining position of 110,729 shares. The CLO sale of 107 shares (~$15K) is de minimis. Neither transaction is discretionary or signals any change in insider sentiment. No open-market purchases were identified in the period.</w:t>
      </w:r>
    </w:p>
    <w:p>
      <w:r>
        <w:rPr>
          <w:rFonts w:ascii="Calibri" w:hAnsi="Calibri"/>
          <w:i/>
          <w:color w:val="525866"/>
          <w:sz w:val="22"/>
        </w:rPr>
        <w:t>Source: SEC Form 4 filings — Giamartino (filed May 18, 2026); Doellinger (filed May 5, 2026). Insider Transaction Data (SEC EDGAR).</w:t>
      </w:r>
    </w:p>
    <w:p>
      <w:r>
        <w:rPr>
          <w:rFonts w:ascii="Calibri" w:hAnsi="Calibri"/>
          <w:b/>
          <w:color w:val="525866"/>
          <w:sz w:val="22"/>
        </w:rPr>
        <w:t xml:space="preserve">Note: </w:t>
      </w:r>
      <w:r>
        <w:rPr>
          <w:rFonts w:ascii="Calibri" w:hAnsi="Calibri"/>
          <w:color w:val="525866"/>
          <w:sz w:val="22"/>
        </w:rPr>
        <w:t>The company separately disclosed ~$540M in share repurchases YTD as of April 21, 2026 (at an average price of ~$148), reflecting strong corporate-level conviction in the stock at prices above current levels.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