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I'll research CHD (Church &amp; Dwight) before writing the preview. Let me gather recent filings, transcripts, and news.Let me read the most recent transcript (2026Q1) and release, plus check the year-ago Q2 for comparison.Let me get recent stock price action and search for the latest news and analyst expectations.Let me check the latest news and analyst expectations.I now have what I need. Here's the earnings preview.</w:t>
      </w:r>
    </w:p>
    <w:p>
      <w:r>
        <w:pict>
          <v:rect style="width:0;height:1.5pt" o:hralign="center" o:hrstd="t" o:hr="t"/>
        </w:pict>
      </w:r>
    </w:p>
    <w:bookmarkStart w:id="17" w:name="X66746186ab9ca4b86e2b467761fff91c5e9c673"/>
    <w:p>
      <w:pPr>
        <w:pStyle w:val="Heading1"/>
      </w:pPr>
      <w:r>
        <w:t xml:space="preserve">Church &amp; Dwight (CHD) — Q2 2026 Earnings Preview</w:t>
      </w:r>
    </w:p>
    <w:bookmarkStart w:id="9" w:name="X696cf9c1ad62a7bea9619b240a3c3e9bdc3abd3"/>
    <w:p>
      <w:pPr>
        <w:pStyle w:val="Heading3"/>
      </w:pPr>
      <w:r>
        <w:t xml:space="preserve">Reports Friday, July 31, 2026 (before open) | 2026Q2 Earnings Call</w:t>
      </w:r>
    </w:p>
    <w:bookmarkEnd w:id="9"/>
    <w:bookmarkStart w:id="10" w:name="the-setup-in-one-line"/>
    <w:p>
      <w:pPr>
        <w:pStyle w:val="Heading2"/>
      </w:pPr>
      <w:r>
        <w:t xml:space="preserve">The setup in one line</w:t>
      </w:r>
    </w:p>
    <w:p>
      <w:pPr>
        <w:pStyle w:val="FirstParagraph"/>
      </w:pPr>
      <w:r>
        <w:t xml:space="preserve">CHD heads into Q2 as a "beat-and-hold" story: management has guided to a soft-looking quarter on purpose (front-half EPS pressure, back-half recovery), so the real questions are (1) whether underlying organic momentum holds as the Q1 inventory tailwind rolls off, and (2) whether commodity/transportation inflation forces any change to the full-year framework. Expectations are modest, which lowers the bar.</w:t>
      </w:r>
    </w:p>
    <w:p>
      <w:r>
        <w:pict>
          <v:rect style="width:0;height:1.5pt" o:hralign="center" o:hrstd="t" o:hr="t"/>
        </w:pict>
      </w:r>
    </w:p>
    <w:bookmarkEnd w:id="10"/>
    <w:bookmarkStart w:id="11" w:name="what-the-company-told-you-to-expect"/>
    <w:p>
      <w:pPr>
        <w:pStyle w:val="Heading2"/>
      </w:pPr>
      <w:r>
        <w:t xml:space="preserve">What the company told you to expect</w:t>
      </w:r>
    </w:p>
    <w:p>
      <w:pPr>
        <w:pStyle w:val="FirstParagraph"/>
      </w:pPr>
      <w:r>
        <w:t xml:space="preserve">On the May 1 Q1 call, management gave unusually specific Q2 guidance: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Q2 2026 Guide</w:t>
            </w:r>
          </w:p>
        </w:tc>
        <w:tc>
          <w:tcPr/>
          <w:p>
            <w:pPr>
              <w:pStyle w:val="Compact"/>
            </w:pPr>
            <w:r>
              <w:t xml:space="preserve">Q2 2025 Actual</w:t>
            </w:r>
          </w:p>
        </w:tc>
        <w:tc>
          <w:tcPr/>
          <w:p>
            <w:pPr>
              <w:pStyle w:val="Compact"/>
            </w:pPr>
            <w:r>
              <w:t xml:space="preserve">Implied YoY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Reported net sales</w:t>
            </w:r>
          </w:p>
        </w:tc>
        <w:tc>
          <w:tcPr/>
          <w:p>
            <w:pPr>
              <w:pStyle w:val="Compact"/>
            </w:pPr>
            <w:r>
              <w:t xml:space="preserve">~ –1%</w:t>
            </w:r>
          </w:p>
        </w:tc>
        <w:tc>
          <w:tcPr/>
          <w:p>
            <w:pPr>
              <w:pStyle w:val="Compact"/>
            </w:pPr>
            <w:r>
              <w:t xml:space="preserve">$1,506.3M</w:t>
            </w:r>
          </w:p>
        </w:tc>
        <w:tc>
          <w:tcPr/>
          <w:p>
            <w:pPr>
              <w:pStyle w:val="Compact"/>
            </w:pPr>
            <w:r>
              <w:t xml:space="preserve">Decline (portfolio actions)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Organic sales</w:t>
            </w:r>
          </w:p>
        </w:tc>
        <w:tc>
          <w:tcPr/>
          <w:p>
            <w:pPr>
              <w:pStyle w:val="Compact"/>
            </w:pPr>
            <w:r>
              <w:t xml:space="preserve">~ +3%</w:t>
            </w:r>
          </w:p>
        </w:tc>
        <w:tc>
          <w:tcPr/>
          <w:p>
            <w:pPr>
              <w:pStyle w:val="Compact"/>
            </w:pPr>
            <w:r>
              <w:t xml:space="preserve">+0.1%</w:t>
            </w:r>
          </w:p>
        </w:tc>
        <w:tc>
          <w:tcPr/>
          <w:p>
            <w:pPr>
              <w:pStyle w:val="Compact"/>
            </w:pPr>
            <w:r>
              <w:t xml:space="preserve">Big accel. (easy comp)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gross margin</w:t>
            </w:r>
          </w:p>
        </w:tc>
        <w:tc>
          <w:tcPr/>
          <w:p>
            <w:pPr>
              <w:pStyle w:val="Compact"/>
            </w:pPr>
            <w:r>
              <w:t xml:space="preserve">~ +50 bps</w:t>
            </w:r>
          </w:p>
        </w:tc>
        <w:tc>
          <w:tcPr/>
          <w:p>
            <w:pPr>
              <w:pStyle w:val="Compact"/>
            </w:pPr>
            <w:r>
              <w:t xml:space="preserve">45.0%</w:t>
            </w:r>
          </w:p>
        </w:tc>
        <w:tc>
          <w:tcPr/>
          <w:p>
            <w:pPr>
              <w:pStyle w:val="Compact"/>
            </w:pPr>
            <w:r>
              <w:t xml:space="preserve">~45.5%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$0.88</w:t>
            </w:r>
          </w:p>
        </w:tc>
        <w:tc>
          <w:tcPr/>
          <w:p>
            <w:pPr>
              <w:pStyle w:val="Compact"/>
            </w:pPr>
            <w:r>
              <w:t xml:space="preserve">$0.94 (adj.)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~ –6%</w:t>
            </w:r>
          </w:p>
        </w:tc>
      </w:tr>
    </w:tbl>
    <w:p>
      <w:pPr>
        <w:pStyle w:val="BodyText"/>
      </w:pPr>
      <w:r>
        <w:t xml:space="preserve">Two structural points to keep front of mind: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Reported sales fall entirely because of 2025 portfolio actions.</w:t>
      </w:r>
      <w:r>
        <w:t xml:space="preserve"> </w:t>
      </w:r>
      <w:r>
        <w:t xml:space="preserve">CHD exited Flawless, Spinbrush, the Waterpik showerhead business, and divested the VMS (vitamins) business — collectively ~$400M of revenue and stranded costs the company is lapping/absorbing this year. Organic growth is the number that matters.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First half is designed to be flattish; growth is back-half-weighted.</w:t>
      </w:r>
      <w:r>
        <w:t xml:space="preserve"> </w:t>
      </w:r>
      <w:r>
        <w:t xml:space="preserve">Q1 adj. EPS was +4.4% ($0.95), so a ~–6% Q2 nets to roughly flat H1. This is driven by higher marketing, Touchland amortization/SG&amp;A, and transportation costs hitting before mitigation kicks in.</w:t>
      </w:r>
    </w:p>
    <w:bookmarkEnd w:id="11"/>
    <w:bookmarkStart w:id="12" w:name="where-consensus-sits"/>
    <w:p>
      <w:pPr>
        <w:pStyle w:val="Heading2"/>
      </w:pPr>
      <w:r>
        <w:t xml:space="preserve">Where consensus sits</w:t>
      </w:r>
    </w:p>
    <w:p>
      <w:pPr>
        <w:pStyle w:val="FirstParagraph"/>
      </w:pPr>
      <w:r>
        <w:t xml:space="preserve">Street estimates cluster right around the guide: consensus adjusted EPS of roughly</w:t>
      </w:r>
      <w:r>
        <w:t xml:space="preserve"> </w:t>
      </w:r>
      <w:r>
        <w:rPr>
          <w:b/>
          <w:bCs/>
        </w:rPr>
        <w:t xml:space="preserve">$0.89</w:t>
      </w:r>
      <w:r>
        <w:t xml:space="preserve"> </w:t>
      </w:r>
      <w:r>
        <w:t xml:space="preserve">(vs. the</w:t>
      </w:r>
      <w:r>
        <w:t xml:space="preserve"> </w:t>
      </w:r>
      <m:oMath>
        <m:r>
          <m:t>0.88</m:t>
        </m:r>
        <m:r>
          <m:t>g</m:t>
        </m:r>
        <m:r>
          <m:t>u</m:t>
        </m:r>
        <m:r>
          <m:t>i</m:t>
        </m:r>
        <m:r>
          <m:t>d</m:t>
        </m:r>
        <m:r>
          <m:t>e</m:t>
        </m:r>
        <m:r>
          <m:rPr>
            <m:sty m:val="p"/>
          </m:rPr>
          <m:t>)</m:t>
        </m:r>
        <m:r>
          <m:t>o</m:t>
        </m:r>
        <m:r>
          <m:t>n</m:t>
        </m:r>
        <m:r>
          <m:t>r</m:t>
        </m:r>
        <m:r>
          <m:t>e</m:t>
        </m:r>
        <m:r>
          <m:t>v</m:t>
        </m:r>
        <m:r>
          <m:t>e</m:t>
        </m:r>
        <m:r>
          <m:t>n</m:t>
        </m:r>
        <m:r>
          <m:t>u</m:t>
        </m:r>
        <m:r>
          <m:t>e</m:t>
        </m:r>
        <m:r>
          <m:t>n</m:t>
        </m:r>
        <m:r>
          <m:t>e</m:t>
        </m:r>
        <m:r>
          <m:t>a</m:t>
        </m:r>
        <m:r>
          <m:t>r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1.5B**. Note CHD has beaten EPS in most recent quarters (trailing average surprise mid-single digits), so a modest headline beat would not be a surprise — the reaction will hinge on organic sales quality and the full-year outlook, not the penny.</w:t>
      </w:r>
    </w:p>
    <w:p>
      <w:r>
        <w:pict>
          <v:rect style="width:0;height:1.5pt" o:hralign="center" o:hrstd="t" o:hr="t"/>
        </w:pict>
      </w:r>
    </w:p>
    <w:bookmarkEnd w:id="12"/>
    <w:bookmarkStart w:id="13" w:name="Xfdf8d3b54b4d93d14ed7b3886d8fe3203174705"/>
    <w:p>
      <w:pPr>
        <w:pStyle w:val="Heading2"/>
      </w:pPr>
      <w:r>
        <w:t xml:space="preserve">The five things that actually move the stock</w:t>
      </w:r>
    </w:p>
    <w:p>
      <w:pPr>
        <w:pStyle w:val="FirstParagraph"/>
      </w:pPr>
      <w:r>
        <w:rPr>
          <w:b/>
          <w:bCs/>
        </w:rPr>
        <w:t xml:space="preserve">1. Organic sales quality as the Q1 tailwind fades.</w:t>
      </w:r>
      <w:r>
        <w:t xml:space="preserve"> </w:t>
      </w:r>
      <w:r>
        <w:t xml:space="preserve">Q1 organic was a blockbuster +5.0%, but management was explicit that ~2 points came from lapping last year's retail-inventory destocking — a one-time help. Underlying "categories growing ~3%, CHD a bit faster" is the true run-rate, hence the ~3% Q2 guide. Watch: Did categories hold ~3%? Did CHD again grow faster and take share? Management flagged being</w:t>
      </w:r>
      <w:r>
        <w:t xml:space="preserve"> </w:t>
      </w:r>
      <w:r>
        <w:rPr>
          <w:b/>
          <w:bCs/>
        </w:rPr>
        <w:t xml:space="preserve">#1 across all of CPG in total distribution points gained</w:t>
      </w:r>
      <w:r>
        <w:t xml:space="preserve">, with resets hitting now (a claimed ~7% TDP lift on a 13-week basis, closer to 10–11% more recently) — that's the durability argument. New products are expected to drive ~half of 2026 organic growth.</w:t>
      </w:r>
    </w:p>
    <w:p>
      <w:pPr>
        <w:pStyle w:val="BodyText"/>
      </w:pPr>
      <w:r>
        <w:rPr>
          <w:b/>
          <w:bCs/>
        </w:rPr>
        <w:t xml:space="preserve">2. Gross margin vs. the Middle East / commodity headwind.</w:t>
      </w:r>
      <w:r>
        <w:t xml:space="preserve"> </w:t>
      </w:r>
      <w:r>
        <w:t xml:space="preserve">Management sized incremental oil-derivative and transportation inflation at</w:t>
      </w:r>
      <w:r>
        <w:t xml:space="preserve"> </w:t>
      </w:r>
      <w:r>
        <w:rPr>
          <w:b/>
          <w:bCs/>
        </w:rPr>
        <w:t xml:space="preserve">$25–30M for the full year</w:t>
      </w:r>
      <w:r>
        <w:t xml:space="preserve"> </w:t>
      </w:r>
      <w:r>
        <w:t xml:space="preserve">(surfactants, resin, diesel), on top of ~160 bps already in the plan — bringing inflation to ~200 bps. They plan to offset it with</w:t>
      </w:r>
      <w:r>
        <w:t xml:space="preserve"> </w:t>
      </w:r>
      <w:r>
        <w:rPr>
          <w:b/>
          <w:bCs/>
        </w:rPr>
        <w:t xml:space="preserve">productivity, not pricing</w:t>
      </w:r>
      <w:r>
        <w:t xml:space="preserve"> </w:t>
      </w:r>
      <w:r>
        <w:t xml:space="preserve">(Dierker was emphatic the pressed consumer can't absorb price). Q2 is the quarter where transportation bites</w:t>
      </w:r>
      <w:r>
        <w:t xml:space="preserve"> </w:t>
      </w:r>
      <w:r>
        <w:rPr>
          <w:i/>
          <w:iCs/>
        </w:rPr>
        <w:t xml:space="preserve">before</w:t>
      </w:r>
      <w:r>
        <w:t xml:space="preserve"> </w:t>
      </w:r>
      <w:r>
        <w:t xml:space="preserve">mitigation, hence only +50 bps GM (vs. +130 bps in Q1 and ~+100 bps full-year). Watch for any change in the $25–30M figure and confidence in the productivity offset — this is the swing factor for the year.</w:t>
      </w:r>
    </w:p>
    <w:p>
      <w:pPr>
        <w:pStyle w:val="BodyText"/>
      </w:pPr>
      <w:r>
        <w:rPr>
          <w:b/>
          <w:bCs/>
        </w:rPr>
        <w:t xml:space="preserve">3. Does the full-year guide hold, move up, or get trimmed?</w:t>
      </w:r>
      <w:r>
        <w:t xml:space="preserve"> </w:t>
      </w:r>
      <w:r>
        <w:t xml:space="preserve">The framework: organic</w:t>
      </w:r>
      <w:r>
        <w:t xml:space="preserve"> </w:t>
      </w:r>
      <w:r>
        <w:rPr>
          <w:b/>
          <w:bCs/>
        </w:rPr>
        <w:t xml:space="preserve">+3–4%</w:t>
      </w:r>
      <w:r>
        <w:t xml:space="preserve">, adjusted EPS</w:t>
      </w:r>
      <w:r>
        <w:t xml:space="preserve"> </w:t>
      </w:r>
      <w:r>
        <w:rPr>
          <w:b/>
          <w:bCs/>
        </w:rPr>
        <w:t xml:space="preserve">+5–8%</w:t>
      </w:r>
      <w:r>
        <w:t xml:space="preserve"> </w:t>
      </w:r>
      <w:r>
        <w:t xml:space="preserve">(</w:t>
      </w:r>
      <m:oMath>
        <m:r>
          <m:t>3.71</m:t>
        </m:r>
        <m:r>
          <m:rPr>
            <m:sty m:val="p"/>
          </m:rPr>
          <m:t>–</m:t>
        </m:r>
      </m:oMath>
      <w:r>
        <w:t xml:space="preserve">3.81 adj.; reported</w:t>
      </w:r>
      <w:r>
        <w:t xml:space="preserve"> </w:t>
      </w:r>
      <m:oMath>
        <m:r>
          <m:t>3.57</m:t>
        </m:r>
        <m:r>
          <m:rPr>
            <m:sty m:val="p"/>
          </m:rPr>
          <m:t>–</m:t>
        </m:r>
      </m:oMath>
      <w:r>
        <w:t xml:space="preserve">3.67, +18–22%), GM ~+100 bps, CFO ~$1.15B. Despite the Q1 beat, management only</w:t>
      </w:r>
      <w:r>
        <w:t xml:space="preserve"> </w:t>
      </w:r>
      <w:r>
        <w:rPr>
          <w:i/>
          <w:iCs/>
        </w:rPr>
        <w:t xml:space="preserve">reiterated</w:t>
      </w:r>
      <w:r>
        <w:t xml:space="preserve"> </w:t>
      </w:r>
      <w:r>
        <w:t xml:space="preserve">— they did not raise, citing the fluid Middle East situation. After a strong H1 print, the debate is whether they nudge organic toward the high end. A guidance change typically moves CHD more than the quarter itself.</w:t>
      </w:r>
    </w:p>
    <w:p>
      <w:pPr>
        <w:pStyle w:val="BodyText"/>
      </w:pPr>
      <w:r>
        <w:rPr>
          <w:b/>
          <w:bCs/>
        </w:rPr>
        <w:t xml:space="preserve">4. Touchland — the growth engine that just decelerated.</w:t>
      </w:r>
      <w:r>
        <w:t xml:space="preserve"> </w:t>
      </w:r>
      <w:r>
        <w:t xml:space="preserve">Q2 2026 is essentially the</w:t>
      </w:r>
      <w:r>
        <w:t xml:space="preserve"> </w:t>
      </w:r>
      <w:r>
        <w:rPr>
          <w:b/>
          <w:bCs/>
        </w:rPr>
        <w:t xml:space="preserve">first full quarter Touchland is in the base</w:t>
      </w:r>
      <w:r>
        <w:t xml:space="preserve"> </w:t>
      </w:r>
      <w:r>
        <w:t xml:space="preserve">(deal closed July 2025). Tracked-channel consumption looked down ~20% in Q1 as it lapped launches and holiday multipacks, but management says all-in consumption (incl. untracked/club/Amazon) was still +12–13%, and reiterated</w:t>
      </w:r>
      <w:r>
        <w:t xml:space="preserve"> </w:t>
      </w:r>
      <w:r>
        <w:rPr>
          <w:b/>
          <w:bCs/>
        </w:rPr>
        <w:t xml:space="preserve">double-digit full-year growth</w:t>
      </w:r>
      <w:r>
        <w:t xml:space="preserve"> </w:t>
      </w:r>
      <w:r>
        <w:t xml:space="preserve">with most advertising/collaborations landing in H2. Watch for hard numbers and integration commentary — Touchland is central to the growth thesis and the SG&amp;A/amortization drag.</w:t>
      </w:r>
    </w:p>
    <w:p>
      <w:pPr>
        <w:pStyle w:val="BodyText"/>
      </w:pPr>
      <w:r>
        <w:rPr>
          <w:b/>
          <w:bCs/>
        </w:rPr>
        <w:t xml:space="preserve">5. Brand-level momentum.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THERABREATH:</w:t>
      </w:r>
      <w:r>
        <w:t xml:space="preserve"> </w:t>
      </w:r>
      <w:r>
        <w:t xml:space="preserve">record mouthwash share (+3.5 pts to 24.1%, #2 in category, still &lt;20% of shelf); toothpaste launch off to a strong start (~4.6 rating).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HERO:</w:t>
      </w:r>
      <w:r>
        <w:t xml:space="preserve"> </w:t>
      </w:r>
      <w:r>
        <w:t xml:space="preserve">share leader ~2x the next competitor; Mighty Shield hitting retailer hurdles; three facial cleansers launching mid-2026 (a Q2/Q3 catalyst).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ARM &amp; HAMMER:</w:t>
      </w:r>
      <w:r>
        <w:t xml:space="preserve"> </w:t>
      </w:r>
      <w:r>
        <w:t xml:space="preserve">record laundry share (+4.1% consumption vs. 2.7% category) with</w:t>
      </w:r>
      <w:r>
        <w:t xml:space="preserve"> </w:t>
      </w:r>
      <w:r>
        <w:rPr>
          <w:i/>
          <w:iCs/>
        </w:rPr>
        <w:t xml:space="preserve">lower</w:t>
      </w:r>
      <w:r>
        <w:t xml:space="preserve"> </w:t>
      </w:r>
      <w:r>
        <w:t xml:space="preserve">promotion; litter consumption +6.8%, share +0.4 pt to 24.6%. The value-tier "Baking Soda Fresh" launch is a key 2026 innovation.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Watch the drags:</w:t>
      </w:r>
      <w:r>
        <w:t xml:space="preserve"> </w:t>
      </w:r>
      <w:r>
        <w:t xml:space="preserve">OXICLEAN (lapping a large club distribution loss — trends improving), WATERPIK flossers, and lower Middle East regional sales weighing on International.</w:t>
      </w:r>
    </w:p>
    <w:p>
      <w:r>
        <w:pict>
          <v:rect style="width:0;height:1.5pt" o:hralign="center" o:hrstd="t" o:hr="t"/>
        </w:pict>
      </w:r>
    </w:p>
    <w:bookmarkEnd w:id="13"/>
    <w:bookmarkStart w:id="14" w:name="other-items-worth-monitoring"/>
    <w:p>
      <w:pPr>
        <w:pStyle w:val="Heading2"/>
      </w:pPr>
      <w:r>
        <w:t xml:space="preserve">Other items worth monitoring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Capital allocation / M&amp;A:</w:t>
      </w:r>
      <w:r>
        <w:t xml:space="preserve"> </w:t>
      </w:r>
      <w:r>
        <w:t xml:space="preserve">Balance sheet is strong (~</w:t>
      </w:r>
      <m:oMath>
        <m:r>
          <m:t>503</m:t>
        </m:r>
        <m:r>
          <m:t>M</m:t>
        </m:r>
        <m:r>
          <m:t>c</m:t>
        </m:r>
        <m:r>
          <m:t>a</m:t>
        </m:r>
        <m:r>
          <m:t>s</m:t>
        </m:r>
        <m:r>
          <m:t>h</m:t>
        </m:r>
        <m:r>
          <m:rPr>
            <m:sty m:val="p"/>
          </m:rPr>
          <m:t>,</m:t>
        </m:r>
        <m:r>
          <m:t> </m:t>
        </m:r>
      </m:oMath>
      <w:r>
        <w:t xml:space="preserve">2.2B debt, expanded $2.0B revolver). Management spends "an inordinate amount of time" on deals across the US and internationally, and the VMS TSA wind-down is freeing up bandwidth for ARM &amp; HAMMER expansion, oral-care, and international M&amp;A. A tuck-in announcement is a live possibility.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ERP upgrade:</w:t>
      </w:r>
      <w:r>
        <w:t xml:space="preserve"> </w:t>
      </w:r>
      <w:r>
        <w:t xml:space="preserve">Went live internationally in April "without customers noticing." ~1% EPS impact from ERP costs runs through H1 and is excluded from adjusted EPS — a tailwind to reported growth as it rolls off.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Consumer read-through:</w:t>
      </w:r>
      <w:r>
        <w:t xml:space="preserve"> </w:t>
      </w:r>
      <w:r>
        <w:t xml:space="preserve">As a household/personal-care play with a balanced value/premium portfolio, CHD's commentary on trade-down, promotional intensity, and the pressured consumer is a useful macro tell for the staples group.</w:t>
      </w:r>
    </w:p>
    <w:bookmarkEnd w:id="14"/>
    <w:bookmarkStart w:id="15" w:name="stock-context"/>
    <w:p>
      <w:pPr>
        <w:pStyle w:val="Heading2"/>
      </w:pPr>
      <w:r>
        <w:t xml:space="preserve">Stock context</w:t>
      </w:r>
    </w:p>
    <w:p>
      <w:pPr>
        <w:pStyle w:val="Compact"/>
        <w:numPr>
          <w:ilvl w:val="0"/>
          <w:numId w:val="1004"/>
        </w:numPr>
      </w:pPr>
      <w:r>
        <w:t xml:space="preserve">CHD closed around **</w:t>
      </w:r>
      <m:oMath>
        <m:r>
          <m:t>97.70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o</m:t>
        </m:r>
        <m:r>
          <m:t>n</m:t>
        </m:r>
        <m:r>
          <m:t>J</m:t>
        </m:r>
        <m:r>
          <m:t>u</m:t>
        </m:r>
        <m:r>
          <m:t>l</m:t>
        </m:r>
        <m:r>
          <m:t>y</m:t>
        </m:r>
        <m:r>
          <m:t>30</m:t>
        </m:r>
        <m:r>
          <m:rPr>
            <m:sty m:val="p"/>
          </m:rPr>
          <m:t>,</m:t>
        </m:r>
        <m:r>
          <m:t>u</m:t>
        </m:r>
        <m:r>
          <m:t>p</m:t>
        </m:r>
        <m:r>
          <m:t>r</m:t>
        </m:r>
        <m:r>
          <m:t>o</m:t>
        </m:r>
        <m:r>
          <m:t>u</m:t>
        </m:r>
        <m:r>
          <m:t>g</m:t>
        </m:r>
        <m:r>
          <m:t>h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+</m:t>
        </m:r>
        <m:r>
          <m:t>18</m:t>
        </m:r>
      </m:oMath>
      <w:r>
        <w:t xml:space="preserve">83 to start the year) — a strong run into the print that raises the bar somewhat.</w:t>
      </w:r>
    </w:p>
    <w:p>
      <w:pPr>
        <w:pStyle w:val="Compact"/>
        <w:numPr>
          <w:ilvl w:val="0"/>
          <w:numId w:val="1004"/>
        </w:numPr>
      </w:pPr>
      <w:r>
        <w:t xml:space="preserve">However, on a trailing-52-week basis the stock has lagged, roughly flat-to-down versus a strongly up S&amp;P 500 and a modestly up staples sector — so it's still viewed as a relative laggard within staples.</w:t>
      </w:r>
    </w:p>
    <w:p>
      <w:pPr>
        <w:pStyle w:val="Compact"/>
        <w:numPr>
          <w:ilvl w:val="0"/>
          <w:numId w:val="1004"/>
        </w:numPr>
      </w:pPr>
      <w:r>
        <w:t xml:space="preserve">Sell-side sentiment is "moderate buy" (roughly 5 buys / 4 holds / no sells). With expectations anchored to the guide, the asymmetry favors organic sales upside + a maintained/raised full-year outlook as the bullish path, versus any cut to the productivity-offset story or full-year EPS as the downside risk.</w:t>
      </w:r>
    </w:p>
    <w:bookmarkEnd w:id="15"/>
    <w:bookmarkStart w:id="16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This is a quarter engineered to look weak on the headline (flat-to-down EPS, reported sales decline from divestitures) while the underlying franchise stays healthy. The bull case rests on organic sales holding ~3%+ on genuine share/distribution gains (not just the fading inventory tailwind), Touchland re-accelerating, and management defending the +100 bps GM / +5–8% EPS full-year framework despite oil-driven inflation. The bear case is a decelerating top line once the Q1 sugar-high rolls off, combined with any crack in the "offset inflation with productivity, no pricing" plan. After an ~18% YTD run, guidance tone will likely matter more than the reported penny.</w:t>
      </w:r>
    </w:p>
    <w:p>
      <w:pPr>
        <w:pStyle w:val="BodyText"/>
      </w:pPr>
      <w:r>
        <w:rPr>
          <w:i/>
          <w:iCs/>
        </w:rPr>
        <w:t xml:space="preserve">Note: figures above are drawn from CHD's Q1 2026 (May 1) release and call, the Q2 2025 comparison release, and current Street estimates. All references to Q2 2026 "results" are guidance/consensus — actuals report July 31.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2026-07-31T00:27:06Z</dcterms:created>
  <dcterms:modified xsi:type="dcterms:W3CDTF">2026-07-31T00:27:06Z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