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hd-earnings-predictions--2026-07-31"/>
    <w:p>
      <w:pPr>
        <w:pStyle w:val="Heading1"/>
      </w:pPr>
      <w:r>
        <w:t xml:space="preserve">CHD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~$0.88-0.90 vs. cons $0.89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~3.5-4.0% vs. cons ~3.0%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Gross Margin Expansion (Q2 2026, bps)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~+50-60bps vs. cons/guide ~+50bps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~5-8% (~</w:t>
            </w:r>
            <m:oMath>
              <m:r>
                <m:t>3.71</m:t>
              </m:r>
              <m:r>
                <m:rPr>
                  <m:sty m:val="p"/>
                </m:rPr>
                <m:t>−</m:t>
              </m:r>
            </m:oMath>
            <w:r>
              <w:t xml:space="preserve">3.81) vs. cons ~$3.76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~3-4% vs. cons ~3.5%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Middle East/Oil-Related Incremental Cost Inflation Estimate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~$30-40M vs. prior guide $25-30M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Gross Margin Expansion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~100bps vs. cons ~100bps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Touchland Full-Year Growth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~10%+ (double-digit) vs. cons ~10%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Q2 results likely land close to management's unusually precise guide (EPS ~$0.88-0.90, organic ~3-4%, GM +50-60bps), leaving little room for a true beat given CHD's rich ~31x forward multiple, so an initial 'sell-the-news'/de-risking dip is likely on day 1 even if headline EPS tops consensus by a cent. Over the following days, reiteration of FY26 EPS growth (5-8%) and organic (3-4%) guidance, plus continued distribution-share gains and H2-weighted algorithm reassurance, should partially reverse the initial pullback as investors look through the noisy Middle East cost commentary (which is incremental, not guidance-breaking) toward the H2 acceleration story, producing a partial fade of the day-1 move rather than continued downside or a big follow-through rally.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2026-07-31T00:26:34Z</dcterms:created>
  <dcterms:modified xsi:type="dcterms:W3CDTF">2026-07-31T00:26:34Z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