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hd-earnings-predictions--2026-07-31"/>
    <w:p>
      <w:pPr>
        <w:pStyle w:val="Heading1"/>
      </w:pPr>
      <w:r>
        <w:t xml:space="preserve">CHD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~$0.91 vs. cons $0.90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~3.3% vs. cons 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gross-margin expansion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~60 bps vs. cons 50 bps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(FY 2026 midpoint)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~$3.76 vs. cons $3.74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sales growth (FY 2026 midpoint)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 vs. cons 3.5% (FY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gross-margin expansion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~100 bps vs. cons 100 bps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~$0.91 vs. cons $0.92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+0.2% (FADE)</w:t>
            </w:r>
          </w:p>
        </w:tc>
        <w:tc>
          <w:tcPr/>
          <w:p>
            <w:pPr>
              <w:pStyle w:val="Compact"/>
            </w:pPr>
            <w:r>
              <w:t xml:space="preserve">Day-1 residual ~+0.8% vs. five-day cumulative residual ~+0.2%: modest Q2 beats support the initial move, but unchanged full-year guidance and a Q3 EPS guide about $0.01 below consensus limit estimate revisions and cause most of the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2026-07-31T01:25:15Z</dcterms:created>
  <dcterms:modified xsi:type="dcterms:W3CDTF">2026-07-31T01:25:15Z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