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3051e114923be659d020153dcd4b60bfbab5f60"/>
    <w:p>
      <w:pPr>
        <w:pStyle w:val="Heading1"/>
      </w:pPr>
      <w:r>
        <w:t xml:space="preserve">Church &amp; Dwight (NYSE: CHD) — Q2 2026 Earnings Preview</w:t>
      </w:r>
    </w:p>
    <w:p>
      <w:pPr>
        <w:pStyle w:val="BlockText"/>
      </w:pPr>
      <w:r>
        <w:rPr>
          <w:b/>
          <w:bCs/>
        </w:rPr>
        <w:t xml:space="preserve">Date clarification:</w:t>
      </w:r>
      <w:r>
        <w:t xml:space="preserve"> </w:t>
      </w:r>
      <w:r>
        <w:t xml:space="preserve">Church &amp; Dwight’s Q2 earnings call is scheduled for</w:t>
      </w:r>
      <w:r>
        <w:t xml:space="preserve"> </w:t>
      </w:r>
      <w:r>
        <w:rPr>
          <w:b/>
          <w:bCs/>
        </w:rPr>
        <w:t xml:space="preserve">today, Friday, July 31, 2026, at 10:00 a.m. ET</w:t>
      </w:r>
      <w:r>
        <w:t xml:space="preserve">, rather than tomorrow.</w:t>
      </w:r>
    </w:p>
    <w:bookmarkStart w:id="10" w:name="executive-view"/>
    <w:p>
      <w:pPr>
        <w:pStyle w:val="Heading2"/>
      </w:pPr>
      <w:r>
        <w:t xml:space="preserve">Executive view</w:t>
      </w:r>
    </w:p>
    <w:p>
      <w:pPr>
        <w:pStyle w:val="FirstParagraph"/>
      </w:pPr>
      <w:r>
        <w:t xml:space="preserve">The central question is not whether Church &amp; Dwight can beat its deliberately conservative Q2 EPS target. It is whether the report supports the more important second-half thesis:</w:t>
      </w:r>
      <w:r>
        <w:t xml:space="preserve"> </w:t>
      </w:r>
      <w:r>
        <w:rPr>
          <w:b/>
          <w:bCs/>
        </w:rPr>
        <w:t xml:space="preserve">volume-led organic growth, continued gross-margin recovery, and an acceleration in earnings as first-half acquisition and marketing costs moderate.</w:t>
      </w:r>
    </w:p>
    <w:p>
      <w:pPr>
        <w:pStyle w:val="BodyText"/>
      </w:pPr>
      <w:r>
        <w:t xml:space="preserve">Management guided Q2 adjusted EPS to</w:t>
      </w:r>
      <w:r>
        <w:t xml:space="preserve"> </w:t>
      </w:r>
      <m:oMath>
        <m:r>
          <m:t>0.88</m:t>
        </m:r>
        <m:r>
          <m:rPr>
            <m:sty m:val="p"/>
          </m:rPr>
          <m:t>*</m:t>
        </m:r>
        <m:r>
          <m:rPr>
            <m:sty m:val="p"/>
          </m:rPr>
          <m:t>*</m:t>
        </m:r>
        <m:r>
          <m:rPr>
            <m:sty m:val="p"/>
          </m:rPr>
          <m:t>,</m:t>
        </m:r>
        <m:r>
          <m:t>w</m:t>
        </m:r>
        <m:r>
          <m:t>h</m:t>
        </m:r>
        <m:r>
          <m:t>i</m:t>
        </m:r>
        <m:r>
          <m:t>l</m:t>
        </m:r>
        <m:r>
          <m:t>e</m:t>
        </m:r>
        <m:r>
          <m:t>m</m:t>
        </m:r>
        <m:r>
          <m:t>a</m:t>
        </m:r>
        <m:r>
          <m:t>r</m:t>
        </m:r>
        <m:r>
          <m:t>k</m:t>
        </m:r>
        <m:r>
          <m:t>e</m:t>
        </m:r>
        <m:r>
          <m:t>t</m:t>
        </m:r>
        <m:r>
          <m:t>e</m:t>
        </m:r>
        <m:r>
          <m:t>s</m:t>
        </m:r>
        <m:r>
          <m:t>t</m:t>
        </m:r>
        <m:r>
          <m:t>i</m:t>
        </m:r>
        <m:r>
          <m:t>m</m:t>
        </m:r>
        <m:r>
          <m:t>a</m:t>
        </m:r>
        <m:r>
          <m:t>t</m:t>
        </m:r>
        <m:r>
          <m:t>e</m:t>
        </m:r>
        <m:r>
          <m:t>s</m:t>
        </m:r>
        <m:r>
          <m:t>c</m:t>
        </m:r>
        <m:r>
          <m:t>l</m:t>
        </m:r>
        <m:r>
          <m:t>u</m:t>
        </m:r>
        <m:r>
          <m:t>s</m:t>
        </m:r>
        <m:r>
          <m:t>t</m:t>
        </m:r>
        <m:r>
          <m:t>e</m:t>
        </m:r>
        <m:r>
          <m:t>r</m:t>
        </m:r>
        <m:r>
          <m:t>a</m:t>
        </m:r>
        <m:r>
          <m:t>r</m:t>
        </m:r>
        <m:r>
          <m:t>o</m:t>
        </m:r>
        <m:r>
          <m:t>u</m:t>
        </m:r>
        <m:r>
          <m:t>n</m:t>
        </m:r>
        <m:r>
          <m:t>d</m:t>
        </m:r>
        <m:r>
          <m:rPr>
            <m:sty m:val="p"/>
          </m:rPr>
          <m:t>*</m:t>
        </m:r>
        <m:r>
          <m:rPr>
            <m:sty m:val="p"/>
          </m:rPr>
          <m:t>*</m:t>
        </m:r>
      </m:oMath>
      <w:r>
        <w:rPr>
          <w:b/>
          <w:bCs/>
        </w:rPr>
        <w:t xml:space="preserve">0.90–</w:t>
      </w:r>
      <m:oMath>
        <m:r>
          <m:t>0.91</m:t>
        </m:r>
        <m:r>
          <m:rPr>
            <m:sty m:val="p"/>
          </m:rPr>
          <m:t>*</m:t>
        </m:r>
        <m:r>
          <m:rPr>
            <m:sty m:val="p"/>
          </m:rPr>
          <m:t>*</m:t>
        </m:r>
        <m:r>
          <m:rPr>
            <m:sty m:val="p"/>
          </m:rPr>
          <m:t>.</m:t>
        </m:r>
        <m:r>
          <m:t>R</m:t>
        </m:r>
        <m:r>
          <m:t>e</m:t>
        </m:r>
        <m:r>
          <m:t>v</m:t>
        </m:r>
        <m:r>
          <m:t>e</m:t>
        </m:r>
        <m:r>
          <m:t>n</m:t>
        </m:r>
        <m:r>
          <m:t>u</m:t>
        </m:r>
        <m:r>
          <m:t>e</m:t>
        </m:r>
        <m:r>
          <m:t>e</m:t>
        </m:r>
        <m:r>
          <m:t>x</m:t>
        </m:r>
        <m:r>
          <m:t>p</m:t>
        </m:r>
        <m:r>
          <m:t>e</m:t>
        </m:r>
        <m:r>
          <m:t>c</m:t>
        </m:r>
        <m:r>
          <m:t>t</m:t>
        </m:r>
        <m:r>
          <m:t>a</m:t>
        </m:r>
        <m:r>
          <m:t>t</m:t>
        </m:r>
        <m:r>
          <m:t>i</m:t>
        </m:r>
        <m:r>
          <m:t>o</m:t>
        </m:r>
        <m:r>
          <m:t>n</m:t>
        </m:r>
        <m:r>
          <m:t>s</m:t>
        </m:r>
        <m:r>
          <m:t>r</m:t>
        </m:r>
        <m:r>
          <m:t>a</m:t>
        </m:r>
        <m:r>
          <m:t>n</m:t>
        </m:r>
        <m:r>
          <m:t>g</m:t>
        </m:r>
        <m:r>
          <m:t>e</m:t>
        </m:r>
        <m:r>
          <m:t>f</m:t>
        </m:r>
        <m:r>
          <m:t>r</m:t>
        </m:r>
        <m:r>
          <m:t>o</m:t>
        </m:r>
        <m:r>
          <m:t>m</m:t>
        </m:r>
        <m:r>
          <m:t>a</m:t>
        </m:r>
        <m:r>
          <m:t>p</m:t>
        </m:r>
        <m:r>
          <m:t>p</m:t>
        </m:r>
        <m:r>
          <m:t>r</m:t>
        </m:r>
        <m:r>
          <m:t>o</m:t>
        </m:r>
        <m:r>
          <m:t>x</m:t>
        </m:r>
        <m:r>
          <m:t>i</m:t>
        </m:r>
        <m:r>
          <m:t>m</m:t>
        </m:r>
        <m:r>
          <m:t>a</m:t>
        </m:r>
        <m:r>
          <m:t>t</m:t>
        </m:r>
        <m:r>
          <m:t>e</m:t>
        </m:r>
        <m:r>
          <m:t>l</m:t>
        </m:r>
        <m:r>
          <m:t>y</m:t>
        </m:r>
        <m:r>
          <m:rPr>
            <m:sty m:val="p"/>
          </m:rPr>
          <m:t>*</m:t>
        </m:r>
        <m:r>
          <m:rPr>
            <m:sty m:val="p"/>
          </m:rPr>
          <m:t>*</m:t>
        </m:r>
      </m:oMath>
      <w:r>
        <w:rPr>
          <w:b/>
          <w:bCs/>
        </w:rPr>
        <w:t xml:space="preserve">1.50 billion to $1.52 billion</w:t>
      </w:r>
      <w:r>
        <w:t xml:space="preserve">. CHD itself expects organic sales growth of about 3%, reported sales down approximately 1%, and gross-margin expansion of roughly 50 basis points. (</w:t>
      </w:r>
      <w:hyperlink r:id="rId9">
        <w:r>
          <w:rPr>
            <w:rStyle w:val="Hyperlink"/>
          </w:rPr>
          <w:t xml:space="preserve">investor.churchdwight.com</w:t>
        </w:r>
      </w:hyperlink>
      <w:r>
        <w:t xml:space="preserve">)</w:t>
      </w:r>
    </w:p>
    <w:p>
      <w:pPr>
        <w:pStyle w:val="BodyText"/>
      </w:pPr>
      <w:r>
        <w:t xml:space="preserve">The stock enters the report near $97.70, roughly:</w:t>
      </w:r>
    </w:p>
    <w:p>
      <w:pPr>
        <w:pStyle w:val="Compact"/>
        <w:numPr>
          <w:ilvl w:val="0"/>
          <w:numId w:val="1001"/>
        </w:numPr>
      </w:pPr>
      <w:r>
        <w:rPr>
          <w:b/>
          <w:bCs/>
        </w:rPr>
        <w:t xml:space="preserve">18% higher year to date</w:t>
      </w:r>
    </w:p>
    <w:p>
      <w:pPr>
        <w:pStyle w:val="Compact"/>
        <w:numPr>
          <w:ilvl w:val="0"/>
          <w:numId w:val="1001"/>
        </w:numPr>
      </w:pPr>
      <w:r>
        <w:t xml:space="preserve">Essentially flat since the Q1 report</w:t>
      </w:r>
    </w:p>
    <w:p>
      <w:pPr>
        <w:pStyle w:val="Compact"/>
        <w:numPr>
          <w:ilvl w:val="0"/>
          <w:numId w:val="1001"/>
        </w:numPr>
      </w:pPr>
      <w:r>
        <w:t xml:space="preserve">About</w:t>
      </w:r>
      <w:r>
        <w:t xml:space="preserve"> </w:t>
      </w:r>
      <w:r>
        <w:rPr>
          <w:b/>
          <w:bCs/>
        </w:rPr>
        <w:t xml:space="preserve">7% below its February high</w:t>
      </w:r>
    </w:p>
    <w:p>
      <w:pPr>
        <w:pStyle w:val="Compact"/>
        <w:numPr>
          <w:ilvl w:val="0"/>
          <w:numId w:val="1001"/>
        </w:numPr>
      </w:pPr>
      <w:r>
        <w:t xml:space="preserve">Trading around</w:t>
      </w:r>
      <w:r>
        <w:t xml:space="preserve"> </w:t>
      </w:r>
      <w:r>
        <w:rPr>
          <w:b/>
          <w:bCs/>
        </w:rPr>
        <w:t xml:space="preserve">26 times</w:t>
      </w:r>
      <w:r>
        <w:t xml:space="preserve"> </w:t>
      </w:r>
      <w:r>
        <w:t xml:space="preserve">the midpoint of management’s 2026 adjusted EPS guidance</w:t>
      </w:r>
    </w:p>
    <w:p>
      <w:pPr>
        <w:pStyle w:val="FirstParagraph"/>
      </w:pPr>
      <w:r>
        <w:t xml:space="preserve">That valuation leaves room for a modest beat, but probably requires strong forward commentary for meaningful upside.</w:t>
      </w:r>
    </w:p>
    <w:p>
      <w:r>
        <w:pict>
          <v:rect style="width:0;height:1.5pt" o:hralign="center" o:hrstd="t" o:hr="t"/>
        </w:pict>
      </w:r>
    </w:p>
    <w:bookmarkEnd w:id="10"/>
    <w:bookmarkStart w:id="11" w:name="expectations-at-a-glance"/>
    <w:p>
      <w:pPr>
        <w:pStyle w:val="Heading2"/>
      </w:pPr>
      <w:r>
        <w:t xml:space="preserve">Expectations at a glance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reference point</w:t>
            </w:r>
          </w:p>
        </w:tc>
        <w:tc>
          <w:tcPr/>
          <w:p>
            <w:pPr>
              <w:pStyle w:val="Compact"/>
              <w:jc w:val="right"/>
            </w:pPr>
            <w:r>
              <w:t xml:space="preserve">Q2 2025 actual</w:t>
            </w:r>
          </w:p>
        </w:tc>
        <w:tc>
          <w:tcPr/>
          <w:p>
            <w:pPr>
              <w:pStyle w:val="Compact"/>
            </w:pPr>
            <w:r>
              <w:t xml:space="preserve">Investor interpretation</w:t>
            </w:r>
          </w:p>
        </w:tc>
      </w:tr>
      <w:tr>
        <w:tc>
          <w:tcPr/>
          <w:p>
            <w:pPr>
              <w:pStyle w:val="Compact"/>
            </w:pPr>
            <w:r>
              <w:t xml:space="preserve">Revenue</w:t>
            </w:r>
          </w:p>
        </w:tc>
        <w:tc>
          <w:tcPr/>
          <w:p>
            <w:pPr>
              <w:pStyle w:val="Compact"/>
              <w:jc w:val="right"/>
            </w:pPr>
            <w:r>
              <w:t xml:space="preserve">Street: approximately</w:t>
            </w:r>
            <w:r>
              <w:t xml:space="preserve"> </w:t>
            </w:r>
            <m:oMath>
              <m:r>
                <m:t>1.50</m:t>
              </m:r>
              <m:r>
                <m:t>B</m:t>
              </m:r>
              <m:r>
                <m:rPr>
                  <m:sty m:val="p"/>
                </m:rPr>
                <m:t>–</m:t>
              </m:r>
            </m:oMath>
            <w:r>
              <w:rPr>
                <w:b/>
                <w:bCs/>
              </w:rPr>
              <w:t xml:space="preserve">1.52B</w:t>
            </w:r>
          </w:p>
        </w:tc>
        <w:tc>
          <w:tcPr/>
          <w:p>
            <w:pPr>
              <w:pStyle w:val="Compact"/>
              <w:jc w:val="right"/>
            </w:pPr>
            <w:r>
              <w:t xml:space="preserve">$1.506B</w:t>
            </w:r>
          </w:p>
        </w:tc>
        <w:tc>
          <w:tcPr/>
          <w:p>
            <w:pPr>
              <w:pStyle w:val="Compact"/>
            </w:pPr>
            <w:r>
              <w:t xml:space="preserve">Reported growth remains distorted by 2025 portfolio exits</w:t>
            </w:r>
          </w:p>
        </w:tc>
      </w:tr>
      <w:tr>
        <w:tc>
          <w:tcPr/>
          <w:p>
            <w:pPr>
              <w:pStyle w:val="Compact"/>
            </w:pPr>
            <w:r>
              <w:t xml:space="preserve">Reported sales growth</w:t>
            </w:r>
          </w:p>
        </w:tc>
        <w:tc>
          <w:tcPr/>
          <w:p>
            <w:pPr>
              <w:pStyle w:val="Compact"/>
              <w:jc w:val="right"/>
            </w:pPr>
            <w:r>
              <w:t xml:space="preserve">Company: approximately</w:t>
            </w:r>
            <w:r>
              <w:t xml:space="preserve"> </w:t>
            </w:r>
            <w:r>
              <w:rPr>
                <w:b/>
                <w:bCs/>
              </w:rPr>
              <w:t xml:space="preserve">-1%</w:t>
            </w:r>
          </w:p>
        </w:tc>
        <w:tc>
          <w:tcPr/>
          <w:p>
            <w:pPr>
              <w:pStyle w:val="Compact"/>
              <w:jc w:val="right"/>
            </w:pPr>
            <w:r>
              <w:t xml:space="preserve">-0.3%</w:t>
            </w:r>
          </w:p>
        </w:tc>
        <w:tc>
          <w:tcPr/>
          <w:p>
            <w:pPr>
              <w:pStyle w:val="Compact"/>
            </w:pPr>
            <w:r>
              <w:t xml:space="preserve">Organic growth is more informative</w:t>
            </w:r>
          </w:p>
        </w:tc>
      </w:tr>
      <w:tr>
        <w:tc>
          <w:tcPr/>
          <w:p>
            <w:pPr>
              <w:pStyle w:val="Compact"/>
            </w:pPr>
            <w:r>
              <w:t xml:space="preserve">Organic sales growth</w:t>
            </w:r>
          </w:p>
        </w:tc>
        <w:tc>
          <w:tcPr/>
          <w:p>
            <w:pPr>
              <w:pStyle w:val="Compact"/>
              <w:jc w:val="right"/>
            </w:pPr>
            <w:r>
              <w:t xml:space="preserve">Company: approximately</w:t>
            </w:r>
            <w:r>
              <w:t xml:space="preserve"> </w:t>
            </w:r>
            <w:r>
              <w:rPr>
                <w:b/>
                <w:bCs/>
              </w:rPr>
              <w:t xml:space="preserve">+3%</w:t>
            </w:r>
          </w:p>
        </w:tc>
        <w:tc>
          <w:tcPr/>
          <w:p>
            <w:pPr>
              <w:pStyle w:val="Compact"/>
              <w:jc w:val="right"/>
            </w:pPr>
            <w:r>
              <w:t xml:space="preserve">+0.1%</w:t>
            </w:r>
          </w:p>
        </w:tc>
        <w:tc>
          <w:tcPr/>
          <w:p>
            <w:pPr>
              <w:pStyle w:val="Compact"/>
            </w:pPr>
            <w:r>
              <w:t xml:space="preserve">The most important top-line KPI</w:t>
            </w:r>
          </w:p>
        </w:tc>
      </w:tr>
      <w:tr>
        <w:tc>
          <w:tcPr/>
          <w:p>
            <w:pPr>
              <w:pStyle w:val="Compact"/>
            </w:pPr>
            <w:r>
              <w:t xml:space="preserve">Adjusted gross margin</w:t>
            </w:r>
          </w:p>
        </w:tc>
        <w:tc>
          <w:tcPr/>
          <w:p>
            <w:pPr>
              <w:pStyle w:val="Compact"/>
              <w:jc w:val="right"/>
            </w:pPr>
            <w:r>
              <w:t xml:space="preserve">Company: approximately</w:t>
            </w:r>
            <w:r>
              <w:t xml:space="preserve"> </w:t>
            </w:r>
            <w:r>
              <w:rPr>
                <w:b/>
                <w:bCs/>
              </w:rPr>
              <w:t xml:space="preserve">+50 bps YoY</w:t>
            </w:r>
          </w:p>
        </w:tc>
        <w:tc>
          <w:tcPr/>
          <w:p>
            <w:pPr>
              <w:pStyle w:val="Compact"/>
              <w:jc w:val="right"/>
            </w:pPr>
            <w:r>
              <w:t xml:space="preserve">—</w:t>
            </w:r>
          </w:p>
        </w:tc>
        <w:tc>
          <w:tcPr/>
          <w:p>
            <w:pPr>
              <w:pStyle w:val="Compact"/>
            </w:pPr>
            <w:r>
              <w:t xml:space="preserve">Tests productivity against transport and commodity inflation</w:t>
            </w:r>
          </w:p>
        </w:tc>
      </w:tr>
      <w:tr>
        <w:tc>
          <w:tcPr/>
          <w:p>
            <w:pPr>
              <w:pStyle w:val="Compact"/>
            </w:pPr>
            <w:r>
              <w:t xml:space="preserve">Adjusted EPS</w:t>
            </w:r>
          </w:p>
        </w:tc>
        <w:tc>
          <w:tcPr/>
          <w:p>
            <w:pPr>
              <w:pStyle w:val="Compact"/>
              <w:jc w:val="right"/>
            </w:pPr>
            <w:r>
              <w:t xml:space="preserve">Company:</w:t>
            </w:r>
            <w:r>
              <w:t xml:space="preserve"> </w:t>
            </w:r>
            <m:oMath>
              <m:r>
                <m:t>0.88</m:t>
              </m:r>
              <m:r>
                <m:rPr>
                  <m:sty m:val="p"/>
                </m:rPr>
                <m:t>*</m:t>
              </m:r>
              <m:r>
                <m:rPr>
                  <m:sty m:val="p"/>
                </m:rPr>
                <m:t>*</m:t>
              </m:r>
              <m:r>
                <m:rPr>
                  <m:sty m:val="p"/>
                </m:rPr>
                <m:t>;</m:t>
              </m:r>
              <m:r>
                <m:t>S</m:t>
              </m:r>
              <m:r>
                <m:t>t</m:t>
              </m:r>
              <m:r>
                <m:t>r</m:t>
              </m:r>
              <m:r>
                <m:t>e</m:t>
              </m:r>
              <m:r>
                <m:t>e</m:t>
              </m:r>
              <m:r>
                <m:t>t</m:t>
              </m:r>
              <m:r>
                <m:rPr>
                  <m:sty m:val="p"/>
                </m:rPr>
                <m:t>:</m:t>
              </m:r>
              <m:r>
                <m:rPr>
                  <m:sty m:val="p"/>
                </m:rPr>
                <m:t>*</m:t>
              </m:r>
              <m:r>
                <m:rPr>
                  <m:sty m:val="p"/>
                </m:rPr>
                <m:t>*</m:t>
              </m:r>
            </m:oMath>
            <w:r>
              <w:rPr>
                <w:b/>
                <w:bCs/>
              </w:rPr>
              <w:t xml:space="preserve">0.90–$0.91</w:t>
            </w:r>
          </w:p>
        </w:tc>
        <w:tc>
          <w:tcPr/>
          <w:p>
            <w:pPr>
              <w:pStyle w:val="Compact"/>
              <w:jc w:val="right"/>
            </w:pPr>
            <w:r>
              <w:t xml:space="preserve">$0.94</w:t>
            </w:r>
          </w:p>
        </w:tc>
        <w:tc>
          <w:tcPr/>
          <w:p>
            <w:pPr>
              <w:pStyle w:val="Compact"/>
            </w:pPr>
            <w:r>
              <w:t xml:space="preserve">Consensus implies a modest YoY decline</w:t>
            </w:r>
          </w:p>
        </w:tc>
      </w:tr>
      <w:tr>
        <w:tc>
          <w:tcPr/>
          <w:p>
            <w:pPr>
              <w:pStyle w:val="Compact"/>
            </w:pPr>
            <w:r>
              <w:t xml:space="preserve">Adjusted tax rate</w:t>
            </w:r>
          </w:p>
        </w:tc>
        <w:tc>
          <w:tcPr/>
          <w:p>
            <w:pPr>
              <w:pStyle w:val="Compact"/>
              <w:jc w:val="right"/>
            </w:pPr>
            <w:r>
              <w:t xml:space="preserve">Approximately</w:t>
            </w:r>
            <w:r>
              <w:t xml:space="preserve"> </w:t>
            </w:r>
            <w:r>
              <w:rPr>
                <w:b/>
                <w:bCs/>
              </w:rPr>
              <w:t xml:space="preserve">21%</w:t>
            </w:r>
          </w:p>
        </w:tc>
        <w:tc>
          <w:tcPr/>
          <w:p>
            <w:pPr>
              <w:pStyle w:val="Compact"/>
              <w:jc w:val="right"/>
            </w:pPr>
            <w:r>
              <w:t xml:space="preserve">—</w:t>
            </w:r>
          </w:p>
        </w:tc>
        <w:tc>
          <w:tcPr/>
          <w:p>
            <w:pPr>
              <w:pStyle w:val="Compact"/>
            </w:pPr>
            <w:r>
              <w:t xml:space="preserve">Secondary earnings variable</w:t>
            </w:r>
          </w:p>
        </w:tc>
      </w:tr>
    </w:tbl>
    <w:p>
      <w:pPr>
        <w:pStyle w:val="BodyText"/>
      </w:pPr>
      <w:r>
        <w:t xml:space="preserve">Street estimates imply roughly flat reported revenue and a mid-single-digit decline in adjusted EPS from last year, reflecting higher marketing, TOUCHLAND-related SG&amp;A and amortization, and other first-half investments. (</w:t>
      </w:r>
      <w:hyperlink r:id="rId9">
        <w:r>
          <w:rPr>
            <w:rStyle w:val="Hyperlink"/>
          </w:rPr>
          <w:t xml:space="preserve">investor.churchdwight.com</w:t>
        </w:r>
      </w:hyperlink>
      <w:r>
        <w:t xml:space="preserve">)</w:t>
      </w:r>
    </w:p>
    <w:p>
      <w:r>
        <w:pict>
          <v:rect style="width:0;height:1.5pt" o:hralign="center" o:hrstd="t" o:hr="t"/>
        </w:pict>
      </w:r>
    </w:p>
    <w:bookmarkEnd w:id="11"/>
    <w:bookmarkStart w:id="17" w:name="what-matters-most"/>
    <w:p>
      <w:pPr>
        <w:pStyle w:val="Heading2"/>
      </w:pPr>
      <w:r>
        <w:t xml:space="preserve">What matters most</w:t>
      </w:r>
    </w:p>
    <w:bookmarkStart w:id="12" w:name="X26c09176e1373bcb9561d90e3ee00cab7b9fa0d"/>
    <w:p>
      <w:pPr>
        <w:pStyle w:val="Heading3"/>
      </w:pPr>
      <w:r>
        <w:t xml:space="preserve">1. Can underlying organic growth hold near 3%?</w:t>
      </w:r>
    </w:p>
    <w:p>
      <w:pPr>
        <w:pStyle w:val="FirstParagraph"/>
      </w:pPr>
      <w:r>
        <w:t xml:space="preserve">Q1 organic sales increased 5%, including 5.3% volume growth, but management said approximately two percentage points of that performance came from lapping retailer inventory reductions in early 2025. The more normalized underlying result was therefore closer to 3%.</w:t>
      </w:r>
    </w:p>
    <w:p>
      <w:pPr>
        <w:pStyle w:val="BodyText"/>
      </w:pPr>
      <w:r>
        <w:t xml:space="preserve">Q2 should provide a cleaner test of the business. Management previously highlighted:</w:t>
      </w:r>
    </w:p>
    <w:p>
      <w:pPr>
        <w:pStyle w:val="Compact"/>
        <w:numPr>
          <w:ilvl w:val="0"/>
          <w:numId w:val="1002"/>
        </w:numPr>
      </w:pPr>
      <w:r>
        <w:t xml:space="preserve">Large distribution gains beginning to reach shelves</w:t>
      </w:r>
    </w:p>
    <w:p>
      <w:pPr>
        <w:pStyle w:val="Compact"/>
        <w:numPr>
          <w:ilvl w:val="0"/>
          <w:numId w:val="1002"/>
        </w:numPr>
      </w:pPr>
      <w:r>
        <w:t xml:space="preserve">New products expected to contribute about half of 2026 organic growth</w:t>
      </w:r>
    </w:p>
    <w:p>
      <w:pPr>
        <w:pStyle w:val="Compact"/>
        <w:numPr>
          <w:ilvl w:val="0"/>
          <w:numId w:val="1002"/>
        </w:numPr>
      </w:pPr>
      <w:r>
        <w:t xml:space="preserve">Category growth running around 3% in Q1</w:t>
      </w:r>
    </w:p>
    <w:p>
      <w:pPr>
        <w:pStyle w:val="Compact"/>
        <w:numPr>
          <w:ilvl w:val="0"/>
          <w:numId w:val="1002"/>
        </w:numPr>
      </w:pPr>
      <w:r>
        <w:t xml:space="preserve">Share gains across much of the portfolio</w:t>
      </w:r>
    </w:p>
    <w:p>
      <w:pPr>
        <w:pStyle w:val="FirstParagraph"/>
      </w:pPr>
      <w:r>
        <w:t xml:space="preserve">A result around 3% would validate the annual plan. Organic growth materially above 3%, particularly if driven by volume rather than promotional pricing, would strengthen the case for performance near the upper end of full-year guidance.</w:t>
      </w:r>
    </w:p>
    <w:p>
      <w:pPr>
        <w:pStyle w:val="BodyText"/>
      </w:pPr>
      <w:r>
        <w:rPr>
          <w:b/>
          <w:bCs/>
        </w:rPr>
        <w:t xml:space="preserve">Watch the composition:</w:t>
      </w:r>
    </w:p>
    <w:p>
      <w:pPr>
        <w:pStyle w:val="Compact"/>
        <w:numPr>
          <w:ilvl w:val="0"/>
          <w:numId w:val="1003"/>
        </w:numPr>
      </w:pPr>
      <w:r>
        <w:rPr>
          <w:b/>
          <w:bCs/>
        </w:rPr>
        <w:t xml:space="preserve">Volume:</w:t>
      </w:r>
      <w:r>
        <w:t xml:space="preserve"> </w:t>
      </w:r>
      <w:r>
        <w:t xml:space="preserve">The preferred source of growth</w:t>
      </w:r>
    </w:p>
    <w:p>
      <w:pPr>
        <w:pStyle w:val="Compact"/>
        <w:numPr>
          <w:ilvl w:val="0"/>
          <w:numId w:val="1003"/>
        </w:numPr>
      </w:pPr>
      <w:r>
        <w:rPr>
          <w:b/>
          <w:bCs/>
        </w:rPr>
        <w:t xml:space="preserve">Price/mix:</w:t>
      </w:r>
      <w:r>
        <w:t xml:space="preserve"> </w:t>
      </w:r>
      <w:r>
        <w:t xml:space="preserve">Negative 0.3% in Q1; another decline could indicate mix or promotional pressure</w:t>
      </w:r>
    </w:p>
    <w:p>
      <w:pPr>
        <w:pStyle w:val="Compact"/>
        <w:numPr>
          <w:ilvl w:val="0"/>
          <w:numId w:val="1003"/>
        </w:numPr>
      </w:pPr>
      <w:r>
        <w:rPr>
          <w:b/>
          <w:bCs/>
        </w:rPr>
        <w:t xml:space="preserve">Retailer inventories:</w:t>
      </w:r>
      <w:r>
        <w:t xml:space="preserve"> </w:t>
      </w:r>
      <w:r>
        <w:t xml:space="preserve">Investors should distinguish consumption from shipment timing</w:t>
      </w:r>
    </w:p>
    <w:p>
      <w:pPr>
        <w:pStyle w:val="Compact"/>
        <w:numPr>
          <w:ilvl w:val="0"/>
          <w:numId w:val="1003"/>
        </w:numPr>
      </w:pPr>
      <w:r>
        <w:rPr>
          <w:b/>
          <w:bCs/>
        </w:rPr>
        <w:t xml:space="preserve">Distribution:</w:t>
      </w:r>
      <w:r>
        <w:t xml:space="preserve"> </w:t>
      </w:r>
      <w:r>
        <w:t xml:space="preserve">Management previously cited a roughly 7% average increase in total distribution points, with recent reset data closer to 10%–11%</w:t>
      </w:r>
    </w:p>
    <w:p>
      <w:r>
        <w:pict>
          <v:rect style="width:0;height:1.5pt" o:hralign="center" o:hrstd="t" o:hr="t"/>
        </w:pict>
      </w:r>
    </w:p>
    <w:bookmarkEnd w:id="12"/>
    <w:bookmarkStart w:id="13" w:name="X6bec373a72fd12fefc5e14c816896fd0e8dbf33"/>
    <w:p>
      <w:pPr>
        <w:pStyle w:val="Heading3"/>
      </w:pPr>
      <w:r>
        <w:t xml:space="preserve">2. Gross margin is the key earnings swing factor</w:t>
      </w:r>
    </w:p>
    <w:p>
      <w:pPr>
        <w:pStyle w:val="FirstParagraph"/>
      </w:pPr>
      <w:r>
        <w:t xml:space="preserve">Q1 adjusted gross margin expanded 130 basis points to 46.4%, ahead of expectations. Management’s Q2 outlook calls for a smaller expansion of approximately 50 basis points because transportation pressure was expected to precede mitigation measures.</w:t>
      </w:r>
    </w:p>
    <w:p>
      <w:pPr>
        <w:pStyle w:val="BodyText"/>
      </w:pPr>
      <w:r>
        <w:t xml:space="preserve">The Q1 margin bridge included substantial benefits from productivity, acquisitions, portfolio actions and volume, offset by inflation and tariff costs. Management also identified an additional</w:t>
      </w:r>
      <w:r>
        <w:t xml:space="preserve"> </w:t>
      </w:r>
      <m:oMath>
        <m:r>
          <m:t>25</m:t>
        </m:r>
        <m:r>
          <m:t>m</m:t>
        </m:r>
        <m:r>
          <m:t>i</m:t>
        </m:r>
        <m:r>
          <m:t>l</m:t>
        </m:r>
        <m:r>
          <m:t>l</m:t>
        </m:r>
        <m:r>
          <m:t>i</m:t>
        </m:r>
        <m:r>
          <m:t>o</m:t>
        </m:r>
        <m:r>
          <m:t>n</m:t>
        </m:r>
        <m:r>
          <m:rPr>
            <m:sty m:val="p"/>
          </m:rPr>
          <m:t>–</m:t>
        </m:r>
      </m:oMath>
      <w:r>
        <w:rPr>
          <w:b/>
          <w:bCs/>
        </w:rPr>
        <w:t xml:space="preserve">30 million</w:t>
      </w:r>
      <w:r>
        <w:t xml:space="preserve"> </w:t>
      </w:r>
      <w:r>
        <w:t xml:space="preserve">of full-year commodity and transportation pressure associated with higher oil-linked inputs, including diesel, resins and surfactants.</w:t>
      </w:r>
    </w:p>
    <w:p>
      <w:pPr>
        <w:pStyle w:val="BodyText"/>
      </w:pPr>
      <w:r>
        <w:t xml:space="preserve">Management’s stated plan was to offset that incremental pressure primarily through accelerated productivity—not broad pricing. That makes the Q2 margin result and second-half margin guidance especially important.</w:t>
      </w:r>
    </w:p>
    <w:p>
      <w:pPr>
        <w:pStyle w:val="BodyText"/>
      </w:pPr>
      <w:r>
        <w:rPr>
          <w:b/>
          <w:bCs/>
        </w:rPr>
        <w:t xml:space="preserve">Positive signals would include:</w:t>
      </w:r>
    </w:p>
    <w:p>
      <w:pPr>
        <w:pStyle w:val="Compact"/>
        <w:numPr>
          <w:ilvl w:val="0"/>
          <w:numId w:val="1004"/>
        </w:numPr>
      </w:pPr>
      <w:r>
        <w:t xml:space="preserve">Gross-margin expansion above 50 basis points</w:t>
      </w:r>
    </w:p>
    <w:p>
      <w:pPr>
        <w:pStyle w:val="Compact"/>
        <w:numPr>
          <w:ilvl w:val="0"/>
          <w:numId w:val="1004"/>
        </w:numPr>
      </w:pPr>
      <w:r>
        <w:t xml:space="preserve">The inflation estimate remaining near</w:t>
      </w:r>
      <w:r>
        <w:t xml:space="preserve"> </w:t>
      </w:r>
      <m:oMath>
        <m:r>
          <m:t>25</m:t>
        </m:r>
        <m:r>
          <m:t>m</m:t>
        </m:r>
        <m:r>
          <m:t>i</m:t>
        </m:r>
        <m:r>
          <m:t>l</m:t>
        </m:r>
        <m:r>
          <m:t>l</m:t>
        </m:r>
        <m:r>
          <m:t>i</m:t>
        </m:r>
        <m:r>
          <m:t>o</m:t>
        </m:r>
        <m:r>
          <m:t>n</m:t>
        </m:r>
        <m:r>
          <m:rPr>
            <m:sty m:val="p"/>
          </m:rPr>
          <m:t>–</m:t>
        </m:r>
      </m:oMath>
      <w:r>
        <w:t xml:space="preserve">30 million</w:t>
      </w:r>
    </w:p>
    <w:p>
      <w:pPr>
        <w:pStyle w:val="Compact"/>
        <w:numPr>
          <w:ilvl w:val="0"/>
          <w:numId w:val="1004"/>
        </w:numPr>
      </w:pPr>
      <w:r>
        <w:t xml:space="preserve">Confirmation that productivity actions are arriving on schedule</w:t>
      </w:r>
    </w:p>
    <w:p>
      <w:pPr>
        <w:pStyle w:val="Compact"/>
        <w:numPr>
          <w:ilvl w:val="0"/>
          <w:numId w:val="1004"/>
        </w:numPr>
      </w:pPr>
      <w:r>
        <w:t xml:space="preserve">Continued confidence in approximately 100 basis points of full-year expansion</w:t>
      </w:r>
    </w:p>
    <w:p>
      <w:pPr>
        <w:pStyle w:val="FirstParagraph"/>
      </w:pPr>
      <w:r>
        <w:rPr>
          <w:b/>
          <w:bCs/>
        </w:rPr>
        <w:t xml:space="preserve">Warning signs would include:</w:t>
      </w:r>
    </w:p>
    <w:p>
      <w:pPr>
        <w:pStyle w:val="Compact"/>
        <w:numPr>
          <w:ilvl w:val="0"/>
          <w:numId w:val="1005"/>
        </w:numPr>
      </w:pPr>
      <w:r>
        <w:t xml:space="preserve">Higher commodity or freight assumptions</w:t>
      </w:r>
    </w:p>
    <w:p>
      <w:pPr>
        <w:pStyle w:val="Compact"/>
        <w:numPr>
          <w:ilvl w:val="0"/>
          <w:numId w:val="1005"/>
        </w:numPr>
      </w:pPr>
      <w:r>
        <w:t xml:space="preserve">Greater reliance on pricing or reduced promotions</w:t>
      </w:r>
    </w:p>
    <w:p>
      <w:pPr>
        <w:pStyle w:val="Compact"/>
        <w:numPr>
          <w:ilvl w:val="0"/>
          <w:numId w:val="1005"/>
        </w:numPr>
      </w:pPr>
      <w:r>
        <w:t xml:space="preserve">Productivity timing moving into 2027</w:t>
      </w:r>
    </w:p>
    <w:p>
      <w:pPr>
        <w:pStyle w:val="Compact"/>
        <w:numPr>
          <w:ilvl w:val="0"/>
          <w:numId w:val="1005"/>
        </w:numPr>
      </w:pPr>
      <w:r>
        <w:t xml:space="preserve">A reduction in brand investment to protect earnings</w:t>
      </w:r>
    </w:p>
    <w:p>
      <w:r>
        <w:pict>
          <v:rect style="width:0;height:1.5pt" o:hralign="center" o:hrstd="t" o:hr="t"/>
        </w:pict>
      </w:r>
    </w:p>
    <w:bookmarkEnd w:id="13"/>
    <w:bookmarkStart w:id="14" w:name="X5bf24262d259b5bec37a9c42f5786e266823a81"/>
    <w:p>
      <w:pPr>
        <w:pStyle w:val="Heading3"/>
      </w:pPr>
      <w:r>
        <w:t xml:space="preserve">3. TOUCHLAND needs to support the acquisition thesis</w:t>
      </w:r>
    </w:p>
    <w:p>
      <w:pPr>
        <w:pStyle w:val="FirstParagraph"/>
      </w:pPr>
      <w:r>
        <w:t xml:space="preserve">TOUCHLAND remains an important point of debate. In Q1, management said total consumption—including less-visible channels—was up approximately 12%–13%, although tracked-channel data appeared considerably weaker. Holiday multipack timing, club sales and difficult launch comparisons complicated the reported trends.</w:t>
      </w:r>
    </w:p>
    <w:p>
      <w:pPr>
        <w:pStyle w:val="BodyText"/>
      </w:pPr>
      <w:r>
        <w:t xml:space="preserve">Management continued to expect double-digit full-year growth, supported by:</w:t>
      </w:r>
    </w:p>
    <w:p>
      <w:pPr>
        <w:pStyle w:val="Compact"/>
        <w:numPr>
          <w:ilvl w:val="0"/>
          <w:numId w:val="1006"/>
        </w:numPr>
      </w:pPr>
      <w:r>
        <w:t xml:space="preserve">Low household penetration</w:t>
      </w:r>
    </w:p>
    <w:p>
      <w:pPr>
        <w:pStyle w:val="Compact"/>
        <w:numPr>
          <w:ilvl w:val="0"/>
          <w:numId w:val="1006"/>
        </w:numPr>
      </w:pPr>
      <w:r>
        <w:t xml:space="preserve">Advertising beginning to ramp</w:t>
      </w:r>
    </w:p>
    <w:p>
      <w:pPr>
        <w:pStyle w:val="Compact"/>
        <w:numPr>
          <w:ilvl w:val="0"/>
          <w:numId w:val="1006"/>
        </w:numPr>
      </w:pPr>
      <w:r>
        <w:t xml:space="preserve">Club and e-commerce strength</w:t>
      </w:r>
    </w:p>
    <w:p>
      <w:pPr>
        <w:pStyle w:val="Compact"/>
        <w:numPr>
          <w:ilvl w:val="0"/>
          <w:numId w:val="1006"/>
        </w:numPr>
      </w:pPr>
      <w:r>
        <w:t xml:space="preserve">Second-half collaborations and product activity</w:t>
      </w:r>
    </w:p>
    <w:p>
      <w:pPr>
        <w:pStyle w:val="FirstParagraph"/>
      </w:pPr>
      <w:r>
        <w:t xml:space="preserve">Investors should listen for:</w:t>
      </w:r>
    </w:p>
    <w:p>
      <w:pPr>
        <w:pStyle w:val="Compact"/>
        <w:numPr>
          <w:ilvl w:val="0"/>
          <w:numId w:val="1007"/>
        </w:numPr>
      </w:pPr>
      <w:r>
        <w:t xml:space="preserve">Q2 consumption growth across all channels</w:t>
      </w:r>
    </w:p>
    <w:p>
      <w:pPr>
        <w:pStyle w:val="Compact"/>
        <w:numPr>
          <w:ilvl w:val="0"/>
          <w:numId w:val="1007"/>
        </w:numPr>
      </w:pPr>
      <w:r>
        <w:t xml:space="preserve">Whether management still expects double-digit 2026 growth</w:t>
      </w:r>
    </w:p>
    <w:p>
      <w:pPr>
        <w:pStyle w:val="Compact"/>
        <w:numPr>
          <w:ilvl w:val="0"/>
          <w:numId w:val="1007"/>
        </w:numPr>
      </w:pPr>
      <w:r>
        <w:t xml:space="preserve">Distribution gains and repeat-purchase rates</w:t>
      </w:r>
    </w:p>
    <w:p>
      <w:pPr>
        <w:pStyle w:val="Compact"/>
        <w:numPr>
          <w:ilvl w:val="0"/>
          <w:numId w:val="1007"/>
        </w:numPr>
      </w:pPr>
      <w:r>
        <w:t xml:space="preserve">Progress integrating the business</w:t>
      </w:r>
    </w:p>
    <w:p>
      <w:pPr>
        <w:pStyle w:val="Compact"/>
        <w:numPr>
          <w:ilvl w:val="0"/>
          <w:numId w:val="1007"/>
        </w:numPr>
      </w:pPr>
      <w:r>
        <w:t xml:space="preserve">The timing of margin accretion as amortization and SG&amp;A comparisons improve</w:t>
      </w:r>
    </w:p>
    <w:p>
      <w:pPr>
        <w:pStyle w:val="FirstParagraph"/>
      </w:pPr>
      <w:r>
        <w:t xml:space="preserve">A weak quarter could revive concerns that CHD bought the brand near a peak in hand-sanitizer momentum. Sustained double-digit growth would materially reduce that risk.</w:t>
      </w:r>
    </w:p>
    <w:p>
      <w:r>
        <w:pict>
          <v:rect style="width:0;height:1.5pt" o:hralign="center" o:hrstd="t" o:hr="t"/>
        </w:pict>
      </w:r>
    </w:p>
    <w:bookmarkEnd w:id="14"/>
    <w:bookmarkStart w:id="15" w:name="X30fc811bd12bff48c2fb2b39af24eb8f2f02464"/>
    <w:p>
      <w:pPr>
        <w:pStyle w:val="Heading3"/>
      </w:pPr>
      <w:r>
        <w:t xml:space="preserve">4. Brand-level momentum should remain concentrated</w:t>
      </w:r>
    </w:p>
    <w:p>
      <w:pPr>
        <w:pStyle w:val="FirstParagraph"/>
      </w:pPr>
      <w:r>
        <w:t xml:space="preserve">The strongest Q1 contributors were:</w:t>
      </w:r>
    </w:p>
    <w:p>
      <w:pPr>
        <w:pStyle w:val="Compact"/>
        <w:numPr>
          <w:ilvl w:val="0"/>
          <w:numId w:val="1008"/>
        </w:numPr>
      </w:pPr>
      <w:r>
        <w:rPr>
          <w:b/>
          <w:bCs/>
        </w:rPr>
        <w:t xml:space="preserve">THERABREATH:</w:t>
      </w:r>
      <w:r>
        <w:t xml:space="preserve"> </w:t>
      </w:r>
      <w:r>
        <w:t xml:space="preserve">Continued mouthwash share gains and an encouraging toothpaste launch</w:t>
      </w:r>
    </w:p>
    <w:p>
      <w:pPr>
        <w:pStyle w:val="Compact"/>
        <w:numPr>
          <w:ilvl w:val="0"/>
          <w:numId w:val="1008"/>
        </w:numPr>
      </w:pPr>
      <w:r>
        <w:rPr>
          <w:b/>
          <w:bCs/>
        </w:rPr>
        <w:t xml:space="preserve">HERO:</w:t>
      </w:r>
      <w:r>
        <w:t xml:space="preserve"> </w:t>
      </w:r>
      <w:r>
        <w:t xml:space="preserve">Category leadership, distribution expansion and new-product support</w:t>
      </w:r>
    </w:p>
    <w:p>
      <w:pPr>
        <w:pStyle w:val="Compact"/>
        <w:numPr>
          <w:ilvl w:val="0"/>
          <w:numId w:val="1008"/>
        </w:numPr>
      </w:pPr>
      <w:r>
        <w:rPr>
          <w:b/>
          <w:bCs/>
        </w:rPr>
        <w:t xml:space="preserve">ARM &amp; HAMMER cat litter:</w:t>
      </w:r>
      <w:r>
        <w:t xml:space="preserve"> </w:t>
      </w:r>
      <w:r>
        <w:t xml:space="preserve">Strong consumption and share growth</w:t>
      </w:r>
    </w:p>
    <w:p>
      <w:pPr>
        <w:pStyle w:val="Compact"/>
        <w:numPr>
          <w:ilvl w:val="0"/>
          <w:numId w:val="1008"/>
        </w:numPr>
      </w:pPr>
      <w:r>
        <w:rPr>
          <w:b/>
          <w:bCs/>
        </w:rPr>
        <w:t xml:space="preserve">ARM &amp; HAMMER laundry:</w:t>
      </w:r>
      <w:r>
        <w:t xml:space="preserve"> </w:t>
      </w:r>
      <w:r>
        <w:t xml:space="preserve">Benefiting from consumer demand for value</w:t>
      </w:r>
    </w:p>
    <w:p>
      <w:pPr>
        <w:pStyle w:val="Compact"/>
        <w:numPr>
          <w:ilvl w:val="0"/>
          <w:numId w:val="1008"/>
        </w:numPr>
      </w:pPr>
      <w:r>
        <w:rPr>
          <w:b/>
          <w:bCs/>
        </w:rPr>
        <w:t xml:space="preserve">OXICLEAN:</w:t>
      </w:r>
      <w:r>
        <w:t xml:space="preserve"> </w:t>
      </w:r>
      <w:r>
        <w:t xml:space="preserve">Trends improved during Q1 but remained affected by a prior club-channel distribution loss</w:t>
      </w:r>
    </w:p>
    <w:p>
      <w:pPr>
        <w:pStyle w:val="FirstParagraph"/>
      </w:pPr>
      <w:r>
        <w:t xml:space="preserve">The report should reveal whether THERABREATH and HERO are continuing to scale without excessive marketing support. Investors should also monitor WATERPIK, where Q1 organic performance remained soft.</w:t>
      </w:r>
    </w:p>
    <w:p>
      <w:pPr>
        <w:pStyle w:val="BodyText"/>
      </w:pPr>
      <w:r>
        <w:t xml:space="preserve">ARM &amp; HAMMER’s value positioning is especially relevant. Management has argued that financially pressured consumers are increasingly receptive to lower-priced laundry products, while CHD has gained share despite using less promotion than several competitors. Confirmation of this dynamic would support both volume and margin durability.</w:t>
      </w:r>
    </w:p>
    <w:p>
      <w:r>
        <w:pict>
          <v:rect style="width:0;height:1.5pt" o:hralign="center" o:hrstd="t" o:hr="t"/>
        </w:pict>
      </w:r>
    </w:p>
    <w:bookmarkEnd w:id="15"/>
    <w:bookmarkStart w:id="16" w:name="Xae0f17804d9afc00b21e1cde718fedd6df81972"/>
    <w:p>
      <w:pPr>
        <w:pStyle w:val="Heading3"/>
      </w:pPr>
      <w:r>
        <w:t xml:space="preserve">5. Full-year guidance will matter more than the Q2 EPS number</w:t>
      </w:r>
    </w:p>
    <w:p>
      <w:pPr>
        <w:pStyle w:val="FirstParagraph"/>
      </w:pPr>
      <w:r>
        <w:t xml:space="preserve">Current 2026 guidance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2026 guidance</w:t>
            </w:r>
          </w:p>
        </w:tc>
      </w:tr>
      <w:tr>
        <w:tc>
          <w:tcPr/>
          <w:p>
            <w:pPr>
              <w:pStyle w:val="Compact"/>
            </w:pPr>
            <w:r>
              <w:t xml:space="preserve">Reported sales growth</w:t>
            </w:r>
          </w:p>
        </w:tc>
        <w:tc>
          <w:tcPr/>
          <w:p>
            <w:pPr>
              <w:pStyle w:val="Compact"/>
              <w:jc w:val="right"/>
            </w:pPr>
            <w:r>
              <w:rPr>
                <w:b/>
                <w:bCs/>
              </w:rPr>
              <w:t xml:space="preserve">-1.5% to -0.5%</w:t>
            </w:r>
          </w:p>
        </w:tc>
      </w:tr>
      <w:tr>
        <w:tc>
          <w:tcPr/>
          <w:p>
            <w:pPr>
              <w:pStyle w:val="Compact"/>
            </w:pPr>
            <w:r>
              <w:t xml:space="preserve">Organic sales growth</w:t>
            </w:r>
          </w:p>
        </w:tc>
        <w:tc>
          <w:tcPr/>
          <w:p>
            <w:pPr>
              <w:pStyle w:val="Compact"/>
              <w:jc w:val="right"/>
            </w:pPr>
            <w:r>
              <w:rPr>
                <w:b/>
                <w:bCs/>
              </w:rPr>
              <w:t xml:space="preserve">+3% to +4%</w:t>
            </w:r>
          </w:p>
        </w:tc>
      </w:tr>
      <w:tr>
        <w:tc>
          <w:tcPr/>
          <w:p>
            <w:pPr>
              <w:pStyle w:val="Compact"/>
            </w:pPr>
            <w:r>
              <w:t xml:space="preserve">Adjusted gross-margin change</w:t>
            </w:r>
          </w:p>
        </w:tc>
        <w:tc>
          <w:tcPr/>
          <w:p>
            <w:pPr>
              <w:pStyle w:val="Compact"/>
              <w:jc w:val="right"/>
            </w:pPr>
            <w:r>
              <w:t xml:space="preserve">Approximately</w:t>
            </w:r>
            <w:r>
              <w:t xml:space="preserve"> </w:t>
            </w:r>
            <w:r>
              <w:rPr>
                <w:b/>
                <w:bCs/>
              </w:rPr>
              <w:t xml:space="preserve">+100 bps</w:t>
            </w:r>
          </w:p>
        </w:tc>
      </w:tr>
      <w:tr>
        <w:tc>
          <w:tcPr/>
          <w:p>
            <w:pPr>
              <w:pStyle w:val="Compact"/>
            </w:pPr>
            <w:r>
              <w:t xml:space="preserve">Adjusted EPS growth</w:t>
            </w:r>
          </w:p>
        </w:tc>
        <w:tc>
          <w:tcPr/>
          <w:p>
            <w:pPr>
              <w:pStyle w:val="Compact"/>
              <w:jc w:val="right"/>
            </w:pPr>
            <w:r>
              <w:rPr>
                <w:b/>
                <w:bCs/>
              </w:rPr>
              <w:t xml:space="preserve">+5% to +8%</w:t>
            </w:r>
          </w:p>
        </w:tc>
      </w:tr>
      <w:tr>
        <w:tc>
          <w:tcPr/>
          <w:p>
            <w:pPr>
              <w:pStyle w:val="Compact"/>
            </w:pPr>
            <w:r>
              <w:t xml:space="preserve">Adjusted EPS</w:t>
            </w:r>
          </w:p>
        </w:tc>
        <w:tc>
          <w:tcPr/>
          <w:p>
            <w:pPr>
              <w:pStyle w:val="Compact"/>
              <w:jc w:val="right"/>
            </w:pPr>
            <m:oMath>
              <m:r>
                <m:t>3.71</m:t>
              </m:r>
              <m:r>
                <m:rPr>
                  <m:sty m:val="p"/>
                </m:rPr>
                <m:t>–</m:t>
              </m:r>
            </m:oMath>
            <w:r>
              <w:rPr>
                <w:b/>
                <w:bCs/>
              </w:rPr>
              <w:t xml:space="preserve">3.81</w:t>
            </w:r>
          </w:p>
        </w:tc>
      </w:tr>
      <w:tr>
        <w:tc>
          <w:tcPr/>
          <w:p>
            <w:pPr>
              <w:pStyle w:val="Compact"/>
            </w:pPr>
            <w:r>
              <w:t xml:space="preserve">Cash from operations</w:t>
            </w:r>
          </w:p>
        </w:tc>
        <w:tc>
          <w:tcPr/>
          <w:p>
            <w:pPr>
              <w:pStyle w:val="Compact"/>
              <w:jc w:val="right"/>
            </w:pPr>
            <w:r>
              <w:t xml:space="preserve">Approximately</w:t>
            </w:r>
            <w:r>
              <w:t xml:space="preserve"> </w:t>
            </w:r>
            <w:r>
              <w:rPr>
                <w:b/>
                <w:bCs/>
              </w:rPr>
              <w:t xml:space="preserve">$1.15B</w:t>
            </w:r>
          </w:p>
        </w:tc>
      </w:tr>
      <w:tr>
        <w:tc>
          <w:tcPr/>
          <w:p>
            <w:pPr>
              <w:pStyle w:val="Compact"/>
            </w:pPr>
            <w:r>
              <w:t xml:space="preserve">Capital expenditures</w:t>
            </w:r>
          </w:p>
        </w:tc>
        <w:tc>
          <w:tcPr/>
          <w:p>
            <w:pPr>
              <w:pStyle w:val="Compact"/>
              <w:jc w:val="right"/>
            </w:pPr>
            <w:r>
              <w:t xml:space="preserve">Approximately</w:t>
            </w:r>
            <w:r>
              <w:t xml:space="preserve"> </w:t>
            </w:r>
            <w:r>
              <w:rPr>
                <w:b/>
                <w:bCs/>
              </w:rPr>
              <w:t xml:space="preserve">$130M</w:t>
            </w:r>
          </w:p>
        </w:tc>
      </w:tr>
    </w:tbl>
    <w:p>
      <w:pPr>
        <w:pStyle w:val="BodyText"/>
      </w:pPr>
      <w:r>
        <w:t xml:space="preserve">Management has repeatedly said earnings growth should be weighted toward the second half because the first half absorbs heavier marketing, TOUCHLAND SG&amp;A and amortization, and ERP-related costs. (</w:t>
      </w:r>
      <w:hyperlink r:id="rId9">
        <w:r>
          <w:rPr>
            <w:rStyle w:val="Hyperlink"/>
          </w:rPr>
          <w:t xml:space="preserve">investor.churchdwight.com</w:t>
        </w:r>
      </w:hyperlink>
      <w:r>
        <w:t xml:space="preserve">)</w:t>
      </w:r>
    </w:p>
    <w:p>
      <w:pPr>
        <w:pStyle w:val="BodyText"/>
      </w:pPr>
      <w:r>
        <w:t xml:space="preserve">A simple reiteration would be acceptable, but investors will want evidence behind it. In particular:</w:t>
      </w:r>
    </w:p>
    <w:p>
      <w:pPr>
        <w:pStyle w:val="Compact"/>
        <w:numPr>
          <w:ilvl w:val="0"/>
          <w:numId w:val="1009"/>
        </w:numPr>
      </w:pPr>
      <w:r>
        <w:t xml:space="preserve">Does Q2 leave CHD positioned toward the</w:t>
      </w:r>
      <w:r>
        <w:t xml:space="preserve"> </w:t>
      </w:r>
      <w:r>
        <w:rPr>
          <w:b/>
          <w:bCs/>
        </w:rPr>
        <w:t xml:space="preserve">upper or lower half</w:t>
      </w:r>
      <w:r>
        <w:t xml:space="preserve"> </w:t>
      </w:r>
      <w:r>
        <w:t xml:space="preserve">of the EPS range?</w:t>
      </w:r>
    </w:p>
    <w:p>
      <w:pPr>
        <w:pStyle w:val="Compact"/>
        <w:numPr>
          <w:ilvl w:val="0"/>
          <w:numId w:val="1009"/>
        </w:numPr>
      </w:pPr>
      <w:r>
        <w:t xml:space="preserve">Is second-half gross-margin acceleration still realistic?</w:t>
      </w:r>
    </w:p>
    <w:p>
      <w:pPr>
        <w:pStyle w:val="Compact"/>
        <w:numPr>
          <w:ilvl w:val="0"/>
          <w:numId w:val="1009"/>
        </w:numPr>
      </w:pPr>
      <w:r>
        <w:t xml:space="preserve">Will marketing remain approximately 11% of sales?</w:t>
      </w:r>
    </w:p>
    <w:p>
      <w:pPr>
        <w:pStyle w:val="Compact"/>
        <w:numPr>
          <w:ilvl w:val="0"/>
          <w:numId w:val="1009"/>
        </w:numPr>
      </w:pPr>
      <w:r>
        <w:t xml:space="preserve">Are TOUCHLAND costs beginning to normalize?</w:t>
      </w:r>
    </w:p>
    <w:p>
      <w:pPr>
        <w:pStyle w:val="Compact"/>
        <w:numPr>
          <w:ilvl w:val="0"/>
          <w:numId w:val="1009"/>
        </w:numPr>
      </w:pPr>
      <w:r>
        <w:t xml:space="preserve">Has the Middle East-related cost outlook changed?</w:t>
      </w:r>
    </w:p>
    <w:p>
      <w:pPr>
        <w:pStyle w:val="Compact"/>
        <w:numPr>
          <w:ilvl w:val="0"/>
          <w:numId w:val="1009"/>
        </w:numPr>
      </w:pPr>
      <w:r>
        <w:t xml:space="preserve">Is international organic growth still capable of approaching management’s prior approximately 7% expectation?</w:t>
      </w:r>
    </w:p>
    <w:p>
      <w:pPr>
        <w:pStyle w:val="FirstParagraph"/>
      </w:pPr>
      <w:r>
        <w:t xml:space="preserve">Given that Q1 exceeded expectations without prompting a guidance increase, a good Q2 could create room for management to narrow or raise the outlook. Conversely, maintaining the range while sounding more cautious about margins could be interpreted as an effective reduction in expectations.</w:t>
      </w:r>
    </w:p>
    <w:p>
      <w:r>
        <w:pict>
          <v:rect style="width:0;height:1.5pt" o:hralign="center" o:hrstd="t" o:hr="t"/>
        </w:pict>
      </w:r>
    </w:p>
    <w:bookmarkEnd w:id="16"/>
    <w:bookmarkEnd w:id="17"/>
    <w:bookmarkStart w:id="21" w:name="potential-stock-reactions"/>
    <w:p>
      <w:pPr>
        <w:pStyle w:val="Heading2"/>
      </w:pPr>
      <w:r>
        <w:t xml:space="preserve">Potential stock reactions</w:t>
      </w:r>
    </w:p>
    <w:bookmarkStart w:id="18" w:name="bull-case"/>
    <w:p>
      <w:pPr>
        <w:pStyle w:val="Heading3"/>
      </w:pPr>
      <w:r>
        <w:t xml:space="preserve">Bull case</w:t>
      </w:r>
    </w:p>
    <w:p>
      <w:pPr>
        <w:pStyle w:val="Compact"/>
        <w:numPr>
          <w:ilvl w:val="0"/>
          <w:numId w:val="1010"/>
        </w:numPr>
      </w:pPr>
      <w:r>
        <w:t xml:space="preserve">Organic growth of</w:t>
      </w:r>
      <w:r>
        <w:t xml:space="preserve"> </w:t>
      </w:r>
      <w:r>
        <w:rPr>
          <w:b/>
          <w:bCs/>
        </w:rPr>
        <w:t xml:space="preserve">3.5% or better</w:t>
      </w:r>
    </w:p>
    <w:p>
      <w:pPr>
        <w:pStyle w:val="Compact"/>
        <w:numPr>
          <w:ilvl w:val="0"/>
          <w:numId w:val="1010"/>
        </w:numPr>
      </w:pPr>
      <w:r>
        <w:t xml:space="preserve">Continued volume growth and limited price/mix pressure</w:t>
      </w:r>
    </w:p>
    <w:p>
      <w:pPr>
        <w:pStyle w:val="Compact"/>
        <w:numPr>
          <w:ilvl w:val="0"/>
          <w:numId w:val="1010"/>
        </w:numPr>
      </w:pPr>
      <w:r>
        <w:t xml:space="preserve">Gross-margin expansion comfortably above 50 basis points</w:t>
      </w:r>
    </w:p>
    <w:p>
      <w:pPr>
        <w:pStyle w:val="Compact"/>
        <w:numPr>
          <w:ilvl w:val="0"/>
          <w:numId w:val="1010"/>
        </w:numPr>
      </w:pPr>
      <w:r>
        <w:t xml:space="preserve">Adjusted EPS above the</w:t>
      </w:r>
      <w:r>
        <w:t xml:space="preserve"> </w:t>
      </w:r>
      <m:oMath>
        <m:r>
          <m:t>0.90</m:t>
        </m:r>
        <m:r>
          <m:rPr>
            <m:sty m:val="p"/>
          </m:rPr>
          <m:t>–</m:t>
        </m:r>
      </m:oMath>
      <w:r>
        <w:t xml:space="preserve">0.91 consensus range</w:t>
      </w:r>
    </w:p>
    <w:p>
      <w:pPr>
        <w:pStyle w:val="Compact"/>
        <w:numPr>
          <w:ilvl w:val="0"/>
          <w:numId w:val="1010"/>
        </w:numPr>
      </w:pPr>
      <w:r>
        <w:t xml:space="preserve">TOUCHLAND maintains double-digit growth</w:t>
      </w:r>
    </w:p>
    <w:p>
      <w:pPr>
        <w:pStyle w:val="Compact"/>
        <w:numPr>
          <w:ilvl w:val="0"/>
          <w:numId w:val="1010"/>
        </w:numPr>
      </w:pPr>
      <w:r>
        <w:t xml:space="preserve">Full-year guidance raised or confidence shifts toward the upper end</w:t>
      </w:r>
    </w:p>
    <w:p>
      <w:pPr>
        <w:pStyle w:val="FirstParagraph"/>
      </w:pPr>
      <w:r>
        <w:t xml:space="preserve">This outcome would validate CHD’s portfolio restructuring and support its premium valuation.</w:t>
      </w:r>
    </w:p>
    <w:bookmarkEnd w:id="18"/>
    <w:bookmarkStart w:id="19" w:name="base-case"/>
    <w:p>
      <w:pPr>
        <w:pStyle w:val="Heading3"/>
      </w:pPr>
      <w:r>
        <w:t xml:space="preserve">Base case</w:t>
      </w:r>
    </w:p>
    <w:p>
      <w:pPr>
        <w:pStyle w:val="Compact"/>
        <w:numPr>
          <w:ilvl w:val="0"/>
          <w:numId w:val="1011"/>
        </w:numPr>
      </w:pPr>
      <w:r>
        <w:t xml:space="preserve">Organic growth around 3%</w:t>
      </w:r>
    </w:p>
    <w:p>
      <w:pPr>
        <w:pStyle w:val="Compact"/>
        <w:numPr>
          <w:ilvl w:val="0"/>
          <w:numId w:val="1011"/>
        </w:numPr>
      </w:pPr>
      <w:r>
        <w:t xml:space="preserve">Revenue and EPS modestly above company guidance but close to consensus</w:t>
      </w:r>
    </w:p>
    <w:p>
      <w:pPr>
        <w:pStyle w:val="Compact"/>
        <w:numPr>
          <w:ilvl w:val="0"/>
          <w:numId w:val="1011"/>
        </w:numPr>
      </w:pPr>
      <w:r>
        <w:t xml:space="preserve">Gross-margin expansion around 50 basis points</w:t>
      </w:r>
    </w:p>
    <w:p>
      <w:pPr>
        <w:pStyle w:val="Compact"/>
        <w:numPr>
          <w:ilvl w:val="0"/>
          <w:numId w:val="1011"/>
        </w:numPr>
      </w:pPr>
      <w:r>
        <w:t xml:space="preserve">Full-year outlook reiterated</w:t>
      </w:r>
    </w:p>
    <w:p>
      <w:pPr>
        <w:pStyle w:val="Compact"/>
        <w:numPr>
          <w:ilvl w:val="0"/>
          <w:numId w:val="1011"/>
        </w:numPr>
      </w:pPr>
      <w:r>
        <w:t xml:space="preserve">Constructive but not materially improved second-half commentary</w:t>
      </w:r>
    </w:p>
    <w:p>
      <w:pPr>
        <w:pStyle w:val="FirstParagraph"/>
      </w:pPr>
      <w:r>
        <w:t xml:space="preserve">This would be a solid operational result, although the share-price response could be limited without a guidance increase.</w:t>
      </w:r>
    </w:p>
    <w:bookmarkEnd w:id="19"/>
    <w:bookmarkStart w:id="20" w:name="bear-case"/>
    <w:p>
      <w:pPr>
        <w:pStyle w:val="Heading3"/>
      </w:pPr>
      <w:r>
        <w:t xml:space="preserve">Bear case</w:t>
      </w:r>
    </w:p>
    <w:p>
      <w:pPr>
        <w:pStyle w:val="Compact"/>
        <w:numPr>
          <w:ilvl w:val="0"/>
          <w:numId w:val="1012"/>
        </w:numPr>
      </w:pPr>
      <w:r>
        <w:t xml:space="preserve">Organic growth of 2% or less</w:t>
      </w:r>
    </w:p>
    <w:p>
      <w:pPr>
        <w:pStyle w:val="Compact"/>
        <w:numPr>
          <w:ilvl w:val="0"/>
          <w:numId w:val="1012"/>
        </w:numPr>
      </w:pPr>
      <w:r>
        <w:t xml:space="preserve">Weak volume or increasingly negative mix</w:t>
      </w:r>
    </w:p>
    <w:p>
      <w:pPr>
        <w:pStyle w:val="Compact"/>
        <w:numPr>
          <w:ilvl w:val="0"/>
          <w:numId w:val="1012"/>
        </w:numPr>
      </w:pPr>
      <w:r>
        <w:t xml:space="preserve">Gross margin below guidance</w:t>
      </w:r>
    </w:p>
    <w:p>
      <w:pPr>
        <w:pStyle w:val="Compact"/>
        <w:numPr>
          <w:ilvl w:val="0"/>
          <w:numId w:val="1012"/>
        </w:numPr>
      </w:pPr>
      <w:r>
        <w:t xml:space="preserve">Higher freight, tariff or commodity assumptions</w:t>
      </w:r>
    </w:p>
    <w:p>
      <w:pPr>
        <w:pStyle w:val="Compact"/>
        <w:numPr>
          <w:ilvl w:val="0"/>
          <w:numId w:val="1012"/>
        </w:numPr>
      </w:pPr>
      <w:r>
        <w:t xml:space="preserve">TOUCHLAND growth falls below double digits</w:t>
      </w:r>
    </w:p>
    <w:p>
      <w:pPr>
        <w:pStyle w:val="Compact"/>
        <w:numPr>
          <w:ilvl w:val="0"/>
          <w:numId w:val="1012"/>
        </w:numPr>
      </w:pPr>
      <w:r>
        <w:t xml:space="preserve">Full-year guidance maintained only through lower marketing or other spending—or reduced outright</w:t>
      </w:r>
    </w:p>
    <w:p>
      <w:pPr>
        <w:pStyle w:val="FirstParagraph"/>
      </w:pPr>
      <w:r>
        <w:t xml:space="preserve">Because the shares trade around 26 times the midpoint of guidance, a margin or guidance disappointment could produce a disproportionate negative reaction.</w:t>
      </w:r>
    </w:p>
    <w:p>
      <w:r>
        <w:pict>
          <v:rect style="width:0;height:1.5pt" o:hralign="center" o:hrstd="t" o:hr="t"/>
        </w:pict>
      </w:r>
    </w:p>
    <w:bookmarkEnd w:id="20"/>
    <w:bookmarkEnd w:id="21"/>
    <w:bookmarkStart w:id="22" w:name="questions-investors-should-want-answered"/>
    <w:p>
      <w:pPr>
        <w:pStyle w:val="Heading2"/>
      </w:pPr>
      <w:r>
        <w:t xml:space="preserve">Questions investors should want answered</w:t>
      </w:r>
    </w:p>
    <w:p>
      <w:pPr>
        <w:pStyle w:val="Compact"/>
        <w:numPr>
          <w:ilvl w:val="0"/>
          <w:numId w:val="1013"/>
        </w:numPr>
      </w:pPr>
      <w:r>
        <w:t xml:space="preserve">How much of Q2 organic growth came from volume versus price/mix?</w:t>
      </w:r>
    </w:p>
    <w:p>
      <w:pPr>
        <w:pStyle w:val="Compact"/>
        <w:numPr>
          <w:ilvl w:val="0"/>
          <w:numId w:val="1013"/>
        </w:numPr>
      </w:pPr>
      <w:r>
        <w:t xml:space="preserve">Are recent distribution gains converting into retail consumption?</w:t>
      </w:r>
    </w:p>
    <w:p>
      <w:pPr>
        <w:pStyle w:val="Compact"/>
        <w:numPr>
          <w:ilvl w:val="0"/>
          <w:numId w:val="1013"/>
        </w:numPr>
      </w:pPr>
      <w:r>
        <w:t xml:space="preserve">Has the estimated</w:t>
      </w:r>
      <w:r>
        <w:t xml:space="preserve"> </w:t>
      </w:r>
      <m:oMath>
        <m:r>
          <m:t>25</m:t>
        </m:r>
        <m:r>
          <m:t>m</m:t>
        </m:r>
        <m:r>
          <m:t>i</m:t>
        </m:r>
        <m:r>
          <m:t>l</m:t>
        </m:r>
        <m:r>
          <m:t>l</m:t>
        </m:r>
        <m:r>
          <m:t>i</m:t>
        </m:r>
        <m:r>
          <m:t>o</m:t>
        </m:r>
        <m:r>
          <m:t>n</m:t>
        </m:r>
        <m:r>
          <m:rPr>
            <m:sty m:val="p"/>
          </m:rPr>
          <m:t>–</m:t>
        </m:r>
      </m:oMath>
      <w:r>
        <w:t xml:space="preserve">30 million inflation headwind changed?</w:t>
      </w:r>
    </w:p>
    <w:p>
      <w:pPr>
        <w:pStyle w:val="Compact"/>
        <w:numPr>
          <w:ilvl w:val="0"/>
          <w:numId w:val="1013"/>
        </w:numPr>
      </w:pPr>
      <w:r>
        <w:t xml:space="preserve">How much incremental productivity has already been realized?</w:t>
      </w:r>
    </w:p>
    <w:p>
      <w:pPr>
        <w:pStyle w:val="Compact"/>
        <w:numPr>
          <w:ilvl w:val="0"/>
          <w:numId w:val="1013"/>
        </w:numPr>
      </w:pPr>
      <w:r>
        <w:t xml:space="preserve">Is full-year gross-margin expansion of approximately 100 basis points still achievable without reducing marketing?</w:t>
      </w:r>
    </w:p>
    <w:p>
      <w:pPr>
        <w:pStyle w:val="Compact"/>
        <w:numPr>
          <w:ilvl w:val="0"/>
          <w:numId w:val="1013"/>
        </w:numPr>
      </w:pPr>
      <w:r>
        <w:t xml:space="preserve">What was TOUCHLAND’s all-channel consumption growth?</w:t>
      </w:r>
    </w:p>
    <w:p>
      <w:pPr>
        <w:pStyle w:val="Compact"/>
        <w:numPr>
          <w:ilvl w:val="0"/>
          <w:numId w:val="1013"/>
        </w:numPr>
      </w:pPr>
      <w:r>
        <w:t xml:space="preserve">Is international growth recovering despite Middle East disruption?</w:t>
      </w:r>
    </w:p>
    <w:p>
      <w:pPr>
        <w:pStyle w:val="Compact"/>
        <w:numPr>
          <w:ilvl w:val="0"/>
          <w:numId w:val="1013"/>
        </w:numPr>
      </w:pPr>
      <w:r>
        <w:t xml:space="preserve">Are THERABREATH toothpaste and HERO’s new cleansers meeting retailer hurdle rates?</w:t>
      </w:r>
    </w:p>
    <w:p>
      <w:pPr>
        <w:pStyle w:val="Compact"/>
        <w:numPr>
          <w:ilvl w:val="0"/>
          <w:numId w:val="1013"/>
        </w:numPr>
      </w:pPr>
      <w:r>
        <w:t xml:space="preserve">Has WATERPIK stabilized?</w:t>
      </w:r>
    </w:p>
    <w:p>
      <w:pPr>
        <w:pStyle w:val="Compact"/>
        <w:numPr>
          <w:ilvl w:val="0"/>
          <w:numId w:val="1013"/>
        </w:numPr>
      </w:pPr>
      <w:r>
        <w:t xml:space="preserve">Does management now expect adjusted EPS near the top, middle or bottom of the</w:t>
      </w:r>
      <w:r>
        <w:t xml:space="preserve"> </w:t>
      </w:r>
      <m:oMath>
        <m:r>
          <m:t>3.71</m:t>
        </m:r>
        <m:r>
          <m:rPr>
            <m:sty m:val="p"/>
          </m:rPr>
          <m:t>–</m:t>
        </m:r>
      </m:oMath>
      <w:r>
        <w:t xml:space="preserve">3.81 range?</w:t>
      </w:r>
    </w:p>
    <w:bookmarkEnd w:id="22"/>
    <w:bookmarkStart w:id="23" w:name="bottom-line"/>
    <w:p>
      <w:pPr>
        <w:pStyle w:val="Heading2"/>
      </w:pPr>
      <w:r>
        <w:t xml:space="preserve">Bottom line</w:t>
      </w:r>
    </w:p>
    <w:p>
      <w:pPr>
        <w:pStyle w:val="FirstParagraph"/>
      </w:pPr>
      <w:r>
        <w:t xml:space="preserve">CHD enters Q2 with a favorable operating narrative but a reasonably demanding valuation. The company does not need a dramatic quarterly beat; it needs to demonstrate that</w:t>
      </w:r>
      <w:r>
        <w:t xml:space="preserve"> </w:t>
      </w:r>
      <w:r>
        <w:rPr>
          <w:b/>
          <w:bCs/>
        </w:rPr>
        <w:t xml:space="preserve">3%–4% organic growth and 100 basis points of full-year margin expansion remain credible despite elevated costs and a pressured consumer.</w:t>
      </w:r>
    </w:p>
    <w:p>
      <w:pPr>
        <w:pStyle w:val="BodyText"/>
      </w:pPr>
      <w:r>
        <w:t xml:space="preserve">The highest-quality result would combine approximately 3% or better organic growth, positive volume, margin upside, continued TOUCHLAND momentum and firmer confidence in second-half earnings acceleration. The biggest risk is that Q1’s strength proves difficult to sustain just as transportation, commodity and acquisition-related costs weigh on profitability.</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churchdwight.com/Investors/financials/quarterly-results/default.aspx?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churchdwight.com/Investors/financials/quarterly-results/default.aspx?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2026-07-31T01:25:15Z</dcterms:created>
  <dcterms:modified xsi:type="dcterms:W3CDTF">2026-07-31T01:25:15Z</dcterms:modified>
</cp:coreProperties>
</file>

<file path=docProps/custom.xml><?xml version="1.0" encoding="utf-8"?>
<Properties xmlns="http://schemas.openxmlformats.org/officeDocument/2006/custom-properties" xmlns:vt="http://schemas.openxmlformats.org/officeDocument/2006/docPropsVTypes"/>
</file>