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a185c5cdb343290c6a4db25f91f75c3668c68e"/>
    <w:p>
      <w:pPr>
        <w:pStyle w:val="Heading1"/>
      </w:pPr>
      <w:r>
        <w:t xml:space="preserve">Church &amp; Dwight (NYSE: CHD) — 2Q26 Earnings Preview</w:t>
      </w:r>
    </w:p>
    <w:p>
      <w:pPr>
        <w:pStyle w:val="BlockText"/>
      </w:pPr>
      <w:r>
        <w:rPr>
          <w:b/>
          <w:bCs/>
        </w:rPr>
        <w:t xml:space="preserve">Timing note:</w:t>
      </w:r>
      <w:r>
        <w:t xml:space="preserve"> </w:t>
      </w:r>
      <w:r>
        <w:t xml:space="preserve">The supplied event date is</w:t>
      </w:r>
      <w:r>
        <w:t xml:space="preserve"> </w:t>
      </w:r>
      <w:r>
        <w:rPr>
          <w:b/>
          <w:bCs/>
        </w:rPr>
        <w:t xml:space="preserve">July 31, 2026</w:t>
      </w:r>
      <w:r>
        <w:t xml:space="preserve">, which is</w:t>
      </w:r>
      <w:r>
        <w:t xml:space="preserve"> </w:t>
      </w:r>
      <w:r>
        <w:rPr>
          <w:b/>
          <w:bCs/>
        </w:rPr>
        <w:t xml:space="preserve">today</w:t>
      </w:r>
      <w:r>
        <w:t xml:space="preserve">, rather than tomorrow. This preview is framed for Church &amp; Dwight’s</w:t>
      </w:r>
      <w:r>
        <w:t xml:space="preserve"> </w:t>
      </w:r>
      <w:r>
        <w:rPr>
          <w:b/>
          <w:bCs/>
        </w:rPr>
        <w:t xml:space="preserve">2Q26 earnings call on July 31, 2026</w:t>
      </w:r>
      <w:r>
        <w:t xml:space="preserve">.</w:t>
      </w:r>
    </w:p>
    <w:bookmarkStart w:id="9" w:name="investment-framing"/>
    <w:p>
      <w:pPr>
        <w:pStyle w:val="Heading2"/>
      </w:pPr>
      <w:r>
        <w:t xml:space="preserve">Investment framing</w:t>
      </w:r>
    </w:p>
    <w:p>
      <w:pPr>
        <w:pStyle w:val="FirstParagraph"/>
      </w:pPr>
      <w:r>
        <w:t xml:space="preserve">Church &amp; Dwight enters 2Q with a relatively well-defined near-term setup: management explicitly guided to</w:t>
      </w:r>
      <w:r>
        <w:t xml:space="preserve"> </w:t>
      </w:r>
      <w:r>
        <w:rPr>
          <w:b/>
          <w:bCs/>
        </w:rPr>
        <w:t xml:space="preserve">~3% organic sales growth</w:t>
      </w:r>
      <w:r>
        <w:t xml:space="preserve">,</w:t>
      </w:r>
      <w:r>
        <w:t xml:space="preserve"> </w:t>
      </w:r>
      <w:r>
        <w:rPr>
          <w:b/>
          <w:bCs/>
        </w:rPr>
        <w:t xml:space="preserve">~1% reported-sales decline</w:t>
      </w:r>
      <w:r>
        <w:t xml:space="preserve">, approximately</w:t>
      </w:r>
      <w:r>
        <w:t xml:space="preserve"> </w:t>
      </w:r>
      <w:r>
        <w:rPr>
          <w:b/>
          <w:bCs/>
        </w:rPr>
        <w:t xml:space="preserve">50 bps of adjusted gross-margin expansion</w:t>
      </w:r>
      <w:r>
        <w:t xml:space="preserve">, and</w:t>
      </w:r>
      <w:r>
        <w:t xml:space="preserve"> </w:t>
      </w:r>
      <w:r>
        <w:rPr>
          <w:b/>
          <w:bCs/>
        </w:rPr>
        <w:t xml:space="preserve">adjusted EPS of $0.88</w:t>
      </w:r>
      <w:r>
        <w:t xml:space="preserve">. The key issue is therefore less whether the company reaches the EPS number and more whether its volume, distribution, innovation, and cost-mitigation trends support the company’s confidence in</w:t>
      </w:r>
      <w:r>
        <w:t xml:space="preserve"> </w:t>
      </w:r>
      <w:r>
        <w:rPr>
          <w:b/>
          <w:bCs/>
        </w:rPr>
        <w:t xml:space="preserve">3–4% full-year organic growth</w:t>
      </w:r>
      <w:r>
        <w:t xml:space="preserve"> </w:t>
      </w:r>
      <w:r>
        <w:t xml:space="preserve">and</w:t>
      </w:r>
      <w:r>
        <w:t xml:space="preserve"> </w:t>
      </w:r>
      <w:r>
        <w:rPr>
          <w:b/>
          <w:bCs/>
        </w:rPr>
        <w:t xml:space="preserve">5–8% adjusted-EPS growth</w:t>
      </w:r>
      <w:r>
        <w:t xml:space="preserve">.</w:t>
      </w:r>
    </w:p>
    <w:p>
      <w:pPr>
        <w:pStyle w:val="BodyText"/>
      </w:pPr>
      <w:r>
        <w:t xml:space="preserve">The company delivered a high-quality 1Q beat—</w:t>
      </w:r>
      <w:r>
        <w:rPr>
          <w:b/>
          <w:bCs/>
        </w:rPr>
        <w:t xml:space="preserve">5.0% organic sales growth</w:t>
      </w:r>
      <w:r>
        <w:t xml:space="preserve">, driven by</w:t>
      </w:r>
      <w:r>
        <w:t xml:space="preserve"> </w:t>
      </w:r>
      <w:r>
        <w:rPr>
          <w:b/>
          <w:bCs/>
        </w:rPr>
        <w:t xml:space="preserve">5.3% volume</w:t>
      </w:r>
      <w:r>
        <w:t xml:space="preserve">, and</w:t>
      </w:r>
      <w:r>
        <w:t xml:space="preserve"> </w:t>
      </w:r>
      <w:r>
        <w:rPr>
          <w:b/>
          <w:bCs/>
        </w:rPr>
        <w:t xml:space="preserve">130 bps</w:t>
      </w:r>
      <w:r>
        <w:t xml:space="preserve"> </w:t>
      </w:r>
      <w:r>
        <w:t xml:space="preserve">of adjusted gross-margin expansion—but management identified about</w:t>
      </w:r>
      <w:r>
        <w:t xml:space="preserve"> </w:t>
      </w:r>
      <w:r>
        <w:rPr>
          <w:b/>
          <w:bCs/>
        </w:rPr>
        <w:t xml:space="preserve">2 points of temporary benefit</w:t>
      </w:r>
      <w:r>
        <w:t xml:space="preserve"> </w:t>
      </w:r>
      <w:r>
        <w:t xml:space="preserve">from easier retailer-inventory comparisons. Thus, a deceleration toward the guided 3% organic-growth rate in 2Q would be consistent with the stated plan rather than necessarily a deterioration in demand.</w:t>
      </w:r>
    </w:p>
    <w:p>
      <w:pPr>
        <w:pStyle w:val="BodyText"/>
      </w:pPr>
      <w:r>
        <w:t xml:space="preserve">The central bull case remains that CHD’s concentrated portfolio of strong household and personal-care brands—especially</w:t>
      </w:r>
      <w:r>
        <w:t xml:space="preserve"> </w:t>
      </w:r>
      <w:r>
        <w:rPr>
          <w:b/>
          <w:bCs/>
        </w:rPr>
        <w:t xml:space="preserve">ARM &amp; HAMMER, THERABREATH, HERO, and Touchland</w:t>
      </w:r>
      <w:r>
        <w:t xml:space="preserve">—can continue taking share through innovation and distribution gains, while productivity offsets cost pressure. The central risk is that the cost backdrop, weak pricing/mix, and elevated first-half investment spending leave little room for error in a quarter already planned to show lower year-over-year EPS.</w:t>
      </w:r>
    </w:p>
    <w:p>
      <w:r>
        <w:pict>
          <v:rect style="width:0;height:1.5pt" o:hralign="center" o:hrstd="t" o:hr="t"/>
        </w:pict>
      </w:r>
    </w:p>
    <w:bookmarkEnd w:id="9"/>
    <w:bookmarkStart w:id="10" w:name="what-management-has-guided-for-2q26"/>
    <w:p>
      <w:pPr>
        <w:pStyle w:val="Heading2"/>
      </w:pPr>
      <w:r>
        <w:t xml:space="preserve">What management has guided for 2Q26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 2Q26 outlook</w:t>
            </w:r>
          </w:p>
        </w:tc>
        <w:tc>
          <w:tcPr/>
          <w:p>
            <w:pPr>
              <w:pStyle w:val="Compact"/>
            </w:pPr>
            <w:r>
              <w:t xml:space="preserve">Investor read-through</w:t>
            </w:r>
          </w:p>
        </w:tc>
      </w:tr>
      <w:tr>
        <w:tc>
          <w:tcPr/>
          <w:p>
            <w:pPr>
              <w:pStyle w:val="Compact"/>
            </w:pPr>
            <w:r>
              <w:t xml:space="preserve">Reported sales growth</w:t>
            </w:r>
          </w:p>
        </w:tc>
        <w:tc>
          <w:tcPr/>
          <w:p>
            <w:pPr>
              <w:pStyle w:val="Compact"/>
              <w:jc w:val="right"/>
            </w:pPr>
            <w:r>
              <w:rPr>
                <w:b/>
                <w:bCs/>
              </w:rPr>
              <w:t xml:space="preserve">~(1%)</w:t>
            </w:r>
          </w:p>
        </w:tc>
        <w:tc>
          <w:tcPr/>
          <w:p>
            <w:pPr>
              <w:pStyle w:val="Compact"/>
            </w:pPr>
            <w:r>
              <w:t xml:space="preserve">Entirely attributed to 2025 portfolio actions/divestitures.</w:t>
            </w:r>
          </w:p>
        </w:tc>
      </w:tr>
      <w:tr>
        <w:tc>
          <w:tcPr/>
          <w:p>
            <w:pPr>
              <w:pStyle w:val="Compact"/>
            </w:pPr>
            <w:r>
              <w:t xml:space="preserve">Organic sales growth</w:t>
            </w:r>
          </w:p>
        </w:tc>
        <w:tc>
          <w:tcPr/>
          <w:p>
            <w:pPr>
              <w:pStyle w:val="Compact"/>
              <w:jc w:val="right"/>
            </w:pPr>
            <w:r>
              <w:rPr>
                <w:b/>
                <w:bCs/>
              </w:rPr>
              <w:t xml:space="preserve">~3%</w:t>
            </w:r>
          </w:p>
        </w:tc>
        <w:tc>
          <w:tcPr/>
          <w:p>
            <w:pPr>
              <w:pStyle w:val="Compact"/>
            </w:pPr>
            <w:r>
              <w:t xml:space="preserve">The most important operating KPI; should be volume-led.</w:t>
            </w:r>
          </w:p>
        </w:tc>
      </w:tr>
      <w:tr>
        <w:tc>
          <w:tcPr/>
          <w:p>
            <w:pPr>
              <w:pStyle w:val="Compact"/>
            </w:pPr>
            <w:r>
              <w:t xml:space="preserve">Gross-margin change</w:t>
            </w:r>
          </w:p>
        </w:tc>
        <w:tc>
          <w:tcPr/>
          <w:p>
            <w:pPr>
              <w:pStyle w:val="Compact"/>
              <w:jc w:val="right"/>
            </w:pPr>
            <w:r>
              <w:rPr>
                <w:b/>
                <w:bCs/>
              </w:rPr>
              <w:t xml:space="preserve">~+50 bps</w:t>
            </w:r>
          </w:p>
        </w:tc>
        <w:tc>
          <w:tcPr/>
          <w:p>
            <w:pPr>
              <w:pStyle w:val="Compact"/>
            </w:pPr>
            <w:r>
              <w:t xml:space="preserve">Lower than 1Q’s +130 bps due to transportation-cost pressure ahead of mitigation actions.</w:t>
            </w:r>
          </w:p>
        </w:tc>
      </w:tr>
      <w:tr>
        <w:tc>
          <w:tcPr/>
          <w:p>
            <w:pPr>
              <w:pStyle w:val="Compact"/>
            </w:pPr>
            <w:r>
              <w:t xml:space="preserve">Adjusted EPS</w:t>
            </w:r>
          </w:p>
        </w:tc>
        <w:tc>
          <w:tcPr/>
          <w:p>
            <w:pPr>
              <w:pStyle w:val="Compact"/>
              <w:jc w:val="right"/>
            </w:pPr>
            <w:r>
              <w:rPr>
                <w:b/>
                <w:bCs/>
              </w:rPr>
              <w:t xml:space="preserve">$0.88</w:t>
            </w:r>
          </w:p>
        </w:tc>
        <w:tc>
          <w:tcPr/>
          <w:p>
            <w:pPr>
              <w:pStyle w:val="Compact"/>
            </w:pPr>
            <w:r>
              <w:t xml:space="preserve">Down from</w:t>
            </w:r>
            <w:r>
              <w:t xml:space="preserve"> </w:t>
            </w:r>
            <w:r>
              <w:rPr>
                <w:b/>
                <w:bCs/>
              </w:rPr>
              <w:t xml:space="preserve">$0.94</w:t>
            </w:r>
            <w:r>
              <w:t xml:space="preserve"> </w:t>
            </w:r>
            <w:r>
              <w:t xml:space="preserve">in 2Q25, reflecting higher marketing and SG&amp;A despite margin expansion.</w:t>
            </w:r>
          </w:p>
        </w:tc>
      </w:tr>
      <w:tr>
        <w:tc>
          <w:tcPr/>
          <w:p>
            <w:pPr>
              <w:pStyle w:val="Compact"/>
            </w:pPr>
            <w:r>
              <w:t xml:space="preserve">Full-year organic sales</w:t>
            </w:r>
          </w:p>
        </w:tc>
        <w:tc>
          <w:tcPr/>
          <w:p>
            <w:pPr>
              <w:pStyle w:val="Compact"/>
              <w:jc w:val="right"/>
            </w:pPr>
            <w:r>
              <w:rPr>
                <w:b/>
                <w:bCs/>
              </w:rPr>
              <w:t xml:space="preserve">+3% to +4%</w:t>
            </w:r>
          </w:p>
        </w:tc>
        <w:tc>
          <w:tcPr/>
          <w:p>
            <w:pPr>
              <w:pStyle w:val="Compact"/>
            </w:pPr>
            <w:r>
              <w:t xml:space="preserve">Reiteration would preserve the underlying growth narrative.</w:t>
            </w:r>
          </w:p>
        </w:tc>
      </w:tr>
      <w:tr>
        <w:tc>
          <w:tcPr/>
          <w:p>
            <w:pPr>
              <w:pStyle w:val="Compact"/>
            </w:pPr>
            <w:r>
              <w:t xml:space="preserve">Full-year adjusted EPS</w:t>
            </w:r>
          </w:p>
        </w:tc>
        <w:tc>
          <w:tcPr/>
          <w:p>
            <w:pPr>
              <w:pStyle w:val="Compact"/>
              <w:jc w:val="right"/>
            </w:pPr>
            <w:r>
              <w:rPr>
                <w:b/>
                <w:bCs/>
              </w:rPr>
              <w:t xml:space="preserve">+5% to +8%</w:t>
            </w:r>
          </w:p>
        </w:tc>
        <w:tc>
          <w:tcPr/>
          <w:p>
            <w:pPr>
              <w:pStyle w:val="Compact"/>
            </w:pPr>
            <w:r>
              <w:t xml:space="preserve">Management expects the earnings-growth weighting to shift to the second half.</w:t>
            </w:r>
          </w:p>
        </w:tc>
      </w:tr>
    </w:tbl>
    <w:p>
      <w:pPr>
        <w:pStyle w:val="BodyText"/>
      </w:pPr>
      <w:r>
        <w:t xml:space="preserve">For context, 2Q25 reported sales were</w:t>
      </w:r>
      <w:r>
        <w:t xml:space="preserve"> </w:t>
      </w:r>
      <m:oMath>
        <m:r>
          <m:t>1.506</m:t>
        </m:r>
        <m:r>
          <m:t>b</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P</m:t>
        </m:r>
        <m:r>
          <m:t>S</m:t>
        </m:r>
        <m:r>
          <m:t>w</m:t>
        </m:r>
        <m:r>
          <m:t>a</m:t>
        </m:r>
        <m:r>
          <m:t>s</m:t>
        </m:r>
        <m:r>
          <m:rPr>
            <m:sty m:val="p"/>
          </m:rPr>
          <m:t>*</m:t>
        </m:r>
        <m:r>
          <m:rPr>
            <m:sty m:val="p"/>
          </m:rPr>
          <m:t>*</m:t>
        </m:r>
      </m:oMath>
      <w:r>
        <w:rPr>
          <w:b/>
          <w:bCs/>
        </w:rPr>
        <w:t xml:space="preserve">0.94</w:t>
      </w:r>
      <w:r>
        <w:t xml:space="preserve">. Applying management’s guided 1% reported-sales decline suggests an approximate 2Q26 revenue base near</w:t>
      </w:r>
      <w:r>
        <w:t xml:space="preserve"> </w:t>
      </w:r>
      <w:r>
        <w:rPr>
          <w:b/>
          <w:bCs/>
        </w:rPr>
        <w:t xml:space="preserve">$1.49 billion</w:t>
      </w:r>
      <w:r>
        <w:t xml:space="preserve">, though portfolio changes, FX, and acquisition effects make the organic-sales metric more informative than that simple comparison.</w:t>
      </w:r>
    </w:p>
    <w:p>
      <w:r>
        <w:pict>
          <v:rect style="width:0;height:1.5pt" o:hralign="center" o:hrstd="t" o:hr="t"/>
        </w:pict>
      </w:r>
    </w:p>
    <w:bookmarkEnd w:id="10"/>
    <w:bookmarkStart w:id="13" w:name="Xc9cd6a7384c593c174ad20875f5edd38f5e79da"/>
    <w:p>
      <w:pPr>
        <w:pStyle w:val="Heading2"/>
      </w:pPr>
      <w:r>
        <w:t xml:space="preserve">The key debate: Is 3% organic growth a healthy normalization or evidence of slowing momentum?</w:t>
      </w:r>
    </w:p>
    <w:bookmarkStart w:id="11" w:name="why-the-setup-is-constructive"/>
    <w:p>
      <w:pPr>
        <w:pStyle w:val="Heading3"/>
      </w:pPr>
      <w:r>
        <w:t xml:space="preserve">Why the setup is constructive</w:t>
      </w:r>
    </w:p>
    <w:p>
      <w:pPr>
        <w:pStyle w:val="FirstParagraph"/>
      </w:pPr>
      <w:r>
        <w:t xml:space="preserve">In 1Q, CHD’s underlying consumer indicators were strong:</w:t>
      </w:r>
    </w:p>
    <w:p>
      <w:pPr>
        <w:pStyle w:val="Compact"/>
        <w:numPr>
          <w:ilvl w:val="0"/>
          <w:numId w:val="1001"/>
        </w:numPr>
      </w:pPr>
      <w:r>
        <w:rPr>
          <w:b/>
          <w:bCs/>
        </w:rPr>
        <w:t xml:space="preserve">Domestic organic sales grew 5.4%</w:t>
      </w:r>
      <w:r>
        <w:t xml:space="preserve">, led by THERABREATH, ARM &amp; HAMMER cat litter, HERO, and OXICLEAN.</w:t>
      </w:r>
    </w:p>
    <w:p>
      <w:pPr>
        <w:pStyle w:val="Compact"/>
        <w:numPr>
          <w:ilvl w:val="0"/>
          <w:numId w:val="1001"/>
        </w:numPr>
      </w:pPr>
      <w:r>
        <w:rPr>
          <w:b/>
          <w:bCs/>
        </w:rPr>
        <w:t xml:space="preserve">International organic sales grew 3.7%</w:t>
      </w:r>
      <w:r>
        <w:t xml:space="preserve">, with growth in THERABREATH, HERO, and BATISTE.</w:t>
      </w:r>
    </w:p>
    <w:p>
      <w:pPr>
        <w:pStyle w:val="Compact"/>
        <w:numPr>
          <w:ilvl w:val="0"/>
          <w:numId w:val="1001"/>
        </w:numPr>
      </w:pPr>
      <w:r>
        <w:rPr>
          <w:b/>
          <w:bCs/>
        </w:rPr>
        <w:t xml:space="preserve">Specialty Products grew 3.1% organically</w:t>
      </w:r>
      <w:r>
        <w:t xml:space="preserve">.</w:t>
      </w:r>
    </w:p>
    <w:p>
      <w:pPr>
        <w:pStyle w:val="Compact"/>
        <w:numPr>
          <w:ilvl w:val="0"/>
          <w:numId w:val="1001"/>
        </w:numPr>
      </w:pPr>
      <w:r>
        <w:t xml:space="preserve">Growth was overwhelmingly volume-driven, a favorable signal in an industry where pricing is becoming more difficult.</w:t>
      </w:r>
    </w:p>
    <w:p>
      <w:pPr>
        <w:pStyle w:val="Compact"/>
        <w:numPr>
          <w:ilvl w:val="0"/>
          <w:numId w:val="1001"/>
        </w:numPr>
      </w:pPr>
      <w:r>
        <w:t xml:space="preserve">Management said its largest categories grew about</w:t>
      </w:r>
      <w:r>
        <w:t xml:space="preserve"> </w:t>
      </w:r>
      <w:r>
        <w:rPr>
          <w:b/>
          <w:bCs/>
        </w:rPr>
        <w:t xml:space="preserve">3%</w:t>
      </w:r>
      <w:r>
        <w:t xml:space="preserve"> </w:t>
      </w:r>
      <w:r>
        <w:t xml:space="preserve">in 1Q, while CHD grew faster and gained share.</w:t>
      </w:r>
    </w:p>
    <w:p>
      <w:pPr>
        <w:pStyle w:val="Compact"/>
        <w:numPr>
          <w:ilvl w:val="0"/>
          <w:numId w:val="1001"/>
        </w:numPr>
      </w:pPr>
      <w:r>
        <w:t xml:space="preserve">Global e-commerce represented</w:t>
      </w:r>
      <w:r>
        <w:t xml:space="preserve"> </w:t>
      </w:r>
      <w:r>
        <w:rPr>
          <w:b/>
          <w:bCs/>
        </w:rPr>
        <w:t xml:space="preserve">24% of consumer sales</w:t>
      </w:r>
      <w:r>
        <w:t xml:space="preserve">, up from 23% in 2Q25.</w:t>
      </w:r>
    </w:p>
    <w:p>
      <w:pPr>
        <w:pStyle w:val="FirstParagraph"/>
      </w:pPr>
      <w:r>
        <w:t xml:space="preserve">The 1Q call also highlighted unusually strong distribution momentum: management said CHD ranked first across CPG in total distribution points gained year over year, estimating a roughly</w:t>
      </w:r>
      <w:r>
        <w:t xml:space="preserve"> </w:t>
      </w:r>
      <w:r>
        <w:rPr>
          <w:b/>
          <w:bCs/>
        </w:rPr>
        <w:t xml:space="preserve">7% average 13-week TDP lift</w:t>
      </w:r>
      <w:r>
        <w:t xml:space="preserve"> </w:t>
      </w:r>
      <w:r>
        <w:t xml:space="preserve">and a more recent</w:t>
      </w:r>
      <w:r>
        <w:t xml:space="preserve"> </w:t>
      </w:r>
      <w:r>
        <w:rPr>
          <w:b/>
          <w:bCs/>
        </w:rPr>
        <w:t xml:space="preserve">10–11%</w:t>
      </w:r>
      <w:r>
        <w:t xml:space="preserve"> </w:t>
      </w:r>
      <w:r>
        <w:t xml:space="preserve">lift as retailer resets took effect. That is potentially important for 2Q and the second half because distribution gains are typically realized with a lag after resets.</w:t>
      </w:r>
    </w:p>
    <w:bookmarkEnd w:id="11"/>
    <w:bookmarkStart w:id="12" w:name="X0becfb3c8a3ec5b70de2ea44593dc6af77b208e"/>
    <w:p>
      <w:pPr>
        <w:pStyle w:val="Heading3"/>
      </w:pPr>
      <w:r>
        <w:t xml:space="preserve">Why expectations should remain disciplined</w:t>
      </w:r>
    </w:p>
    <w:p>
      <w:pPr>
        <w:pStyle w:val="FirstParagraph"/>
      </w:pPr>
      <w:r>
        <w:t xml:space="preserve">Management was transparent that roughly</w:t>
      </w:r>
      <w:r>
        <w:t xml:space="preserve"> </w:t>
      </w:r>
      <w:r>
        <w:rPr>
          <w:b/>
          <w:bCs/>
        </w:rPr>
        <w:t xml:space="preserve">2 percentage points</w:t>
      </w:r>
      <w:r>
        <w:t xml:space="preserve"> </w:t>
      </w:r>
      <w:r>
        <w:t xml:space="preserve">of 1Q’s 5% organic growth related to a favorable comparison with retailer inventory reductions in 1Q25. That implies the underlying run rate was closer to 3%, which is consistent with 2Q guidance.</w:t>
      </w:r>
    </w:p>
    <w:p>
      <w:pPr>
        <w:pStyle w:val="BodyText"/>
      </w:pPr>
      <w:r>
        <w:t xml:space="preserve">Accordingly, a 2Q organic-sales result around 3%—particularly if supported by positive volume and market-share gains—would support rather than undermine the full-year framework. Conversely, a sub-3% result would raise questions about whether category growth, distribution gains, or innovation are translating to shipments as expected.</w:t>
      </w:r>
    </w:p>
    <w:p>
      <w:r>
        <w:pict>
          <v:rect style="width:0;height:1.5pt" o:hralign="center" o:hrstd="t" o:hr="t"/>
        </w:pict>
      </w:r>
    </w:p>
    <w:bookmarkEnd w:id="12"/>
    <w:bookmarkEnd w:id="13"/>
    <w:bookmarkStart w:id="14" w:name="Xcaac0066c02caddaa098f730add643da513a5e4"/>
    <w:p>
      <w:pPr>
        <w:pStyle w:val="Heading2"/>
      </w:pPr>
      <w:r>
        <w:t xml:space="preserve">Margin and EPS: The quarter is intentionally back-half weighted</w:t>
      </w:r>
    </w:p>
    <w:p>
      <w:pPr>
        <w:pStyle w:val="FirstParagraph"/>
      </w:pPr>
      <w:r>
        <w:t xml:space="preserve">CHD’s 2Q margin setup is less favorable than 1Q’s:</w:t>
      </w:r>
    </w:p>
    <w:p>
      <w:pPr>
        <w:pStyle w:val="Compact"/>
        <w:numPr>
          <w:ilvl w:val="0"/>
          <w:numId w:val="1002"/>
        </w:numPr>
      </w:pPr>
      <w:r>
        <w:t xml:space="preserve">Management expects just</w:t>
      </w:r>
      <w:r>
        <w:t xml:space="preserve"> </w:t>
      </w:r>
      <w:r>
        <w:rPr>
          <w:b/>
          <w:bCs/>
        </w:rPr>
        <w:t xml:space="preserve">~50 bps</w:t>
      </w:r>
      <w:r>
        <w:t xml:space="preserve"> </w:t>
      </w:r>
      <w:r>
        <w:t xml:space="preserve">of gross-margin expansion in 2Q, versus</w:t>
      </w:r>
      <w:r>
        <w:t xml:space="preserve"> </w:t>
      </w:r>
      <w:r>
        <w:rPr>
          <w:b/>
          <w:bCs/>
        </w:rPr>
        <w:t xml:space="preserve">+130 bps</w:t>
      </w:r>
      <w:r>
        <w:t xml:space="preserve"> </w:t>
      </w:r>
      <w:r>
        <w:t xml:space="preserve">in 1Q.</w:t>
      </w:r>
    </w:p>
    <w:p>
      <w:pPr>
        <w:pStyle w:val="Compact"/>
        <w:numPr>
          <w:ilvl w:val="0"/>
          <w:numId w:val="1002"/>
        </w:numPr>
      </w:pPr>
      <w:r>
        <w:t xml:space="preserve">Transportation, resin, surfactant, diesel, and other oil-linked costs were a meaningful headwind.</w:t>
      </w:r>
    </w:p>
    <w:p>
      <w:pPr>
        <w:pStyle w:val="Compact"/>
        <w:numPr>
          <w:ilvl w:val="0"/>
          <w:numId w:val="1002"/>
        </w:numPr>
      </w:pPr>
      <w:r>
        <w:t xml:space="preserve">At the time of 1Q reporting, CHD estimated</w:t>
      </w:r>
      <w:r>
        <w:t xml:space="preserve"> </w:t>
      </w:r>
      <m:oMath>
        <m:r>
          <m:t>25</m:t>
        </m:r>
        <m:r>
          <m:t>m</m:t>
        </m:r>
        <m:r>
          <m:t>i</m:t>
        </m:r>
        <m:r>
          <m:t>l</m:t>
        </m:r>
        <m:r>
          <m:t>l</m:t>
        </m:r>
        <m:r>
          <m:t>i</m:t>
        </m:r>
        <m:r>
          <m:t>o</m:t>
        </m:r>
        <m:r>
          <m:t>n</m:t>
        </m:r>
        <m:r>
          <m:rPr>
            <m:sty m:val="p"/>
          </m:rPr>
          <m:t>–</m:t>
        </m:r>
      </m:oMath>
      <w:r>
        <w:rPr>
          <w:b/>
          <w:bCs/>
        </w:rPr>
        <w:t xml:space="preserve">30 million</w:t>
      </w:r>
      <w:r>
        <w:t xml:space="preserve"> </w:t>
      </w:r>
      <w:r>
        <w:t xml:space="preserve">of incremental full-year inflation pressure tied largely to the Middle East-related commodity and transportation environment.</w:t>
      </w:r>
    </w:p>
    <w:p>
      <w:pPr>
        <w:pStyle w:val="Compact"/>
        <w:numPr>
          <w:ilvl w:val="0"/>
          <w:numId w:val="1002"/>
        </w:numPr>
      </w:pPr>
      <w:r>
        <w:t xml:space="preserve">Management’s stated plan was to offset this pressure primarily with</w:t>
      </w:r>
      <w:r>
        <w:t xml:space="preserve"> </w:t>
      </w:r>
      <w:r>
        <w:rPr>
          <w:b/>
          <w:bCs/>
        </w:rPr>
        <w:t xml:space="preserve">productivity</w:t>
      </w:r>
      <w:r>
        <w:t xml:space="preserve">, not broad price increases. It indicated that promotion/revenue-growth-management actions would be the next lever and pricing only a more remote option if costs became materially worse.</w:t>
      </w:r>
    </w:p>
    <w:p>
      <w:pPr>
        <w:pStyle w:val="FirstParagraph"/>
      </w:pPr>
      <w:r>
        <w:t xml:space="preserve">Importantly, management expects higher</w:t>
      </w:r>
      <w:r>
        <w:t xml:space="preserve"> </w:t>
      </w:r>
      <w:r>
        <w:rPr>
          <w:b/>
          <w:bCs/>
        </w:rPr>
        <w:t xml:space="preserve">marketing</w:t>
      </w:r>
      <w:r>
        <w:t xml:space="preserve"> </w:t>
      </w:r>
      <w:r>
        <w:t xml:space="preserve">and</w:t>
      </w:r>
      <w:r>
        <w:t xml:space="preserve"> </w:t>
      </w:r>
      <w:r>
        <w:rPr>
          <w:b/>
          <w:bCs/>
        </w:rPr>
        <w:t xml:space="preserve">SG&amp;A</w:t>
      </w:r>
      <w:r>
        <w:t xml:space="preserve"> </w:t>
      </w:r>
      <w:r>
        <w:t xml:space="preserve">in 2Q to more than offset gross-margin gains. Marketing should trend toward the company’s roughly</w:t>
      </w:r>
      <w:r>
        <w:t xml:space="preserve"> </w:t>
      </w:r>
      <w:r>
        <w:rPr>
          <w:b/>
          <w:bCs/>
        </w:rPr>
        <w:t xml:space="preserve">11% of sales</w:t>
      </w:r>
      <w:r>
        <w:t xml:space="preserve"> </w:t>
      </w:r>
      <w:r>
        <w:t xml:space="preserve">evergreen target, while SG&amp;A remains pressured in the first half by</w:t>
      </w:r>
      <w:r>
        <w:t xml:space="preserve"> </w:t>
      </w:r>
      <w:r>
        <w:rPr>
          <w:b/>
          <w:bCs/>
        </w:rPr>
        <w:t xml:space="preserve">Touchland amortization and operating costs</w:t>
      </w:r>
      <w:r>
        <w:t xml:space="preserve">, growth investments, e-commerce, and international expansion.</w:t>
      </w:r>
    </w:p>
    <w:p>
      <w:pPr>
        <w:pStyle w:val="BodyText"/>
      </w:pPr>
      <w:r>
        <w:t xml:space="preserve">This makes the quality of a potential EPS beat important. A beat generated by stronger sales volume and gross margin would be more constructive than one driven principally by tax or timing benefits.</w:t>
      </w:r>
    </w:p>
    <w:p>
      <w:r>
        <w:pict>
          <v:rect style="width:0;height:1.5pt" o:hralign="center" o:hrstd="t" o:hr="t"/>
        </w:pict>
      </w:r>
    </w:p>
    <w:bookmarkEnd w:id="14"/>
    <w:bookmarkStart w:id="20" w:name="brand-and-segment-watch-list"/>
    <w:p>
      <w:pPr>
        <w:pStyle w:val="Heading2"/>
      </w:pPr>
      <w:r>
        <w:t xml:space="preserve">Brand and segment watch list</w:t>
      </w:r>
    </w:p>
    <w:bookmarkStart w:id="15" w:name="X96dc6d6b66c1899acf9312957f09aa312b5fdd1"/>
    <w:p>
      <w:pPr>
        <w:pStyle w:val="Heading3"/>
      </w:pPr>
      <w:r>
        <w:t xml:space="preserve">1. ARM &amp; HAMMER: Value-positioning should matter</w:t>
      </w:r>
    </w:p>
    <w:p>
      <w:pPr>
        <w:pStyle w:val="FirstParagraph"/>
      </w:pPr>
      <w:r>
        <w:t xml:space="preserve">A pressured consumer backdrop can favor CHD’s value-oriented household offerings. Management specifically noted that the value segment in laundry has been growing, while ARM &amp; HAMMER laundry reached record share levels despite lower promotional activity than competitors.</w:t>
      </w:r>
    </w:p>
    <w:p>
      <w:pPr>
        <w:pStyle w:val="BodyText"/>
      </w:pPr>
      <w:r>
        <w:t xml:space="preserve">Watch for:</w:t>
      </w:r>
    </w:p>
    <w:p>
      <w:pPr>
        <w:pStyle w:val="Compact"/>
        <w:numPr>
          <w:ilvl w:val="0"/>
          <w:numId w:val="1003"/>
        </w:numPr>
      </w:pPr>
      <w:r>
        <w:t xml:space="preserve">Laundry consumption and share trends;</w:t>
      </w:r>
    </w:p>
    <w:p>
      <w:pPr>
        <w:pStyle w:val="Compact"/>
        <w:numPr>
          <w:ilvl w:val="0"/>
          <w:numId w:val="1003"/>
        </w:numPr>
      </w:pPr>
      <w:r>
        <w:t xml:space="preserve">Continued traction for</w:t>
      </w:r>
      <w:r>
        <w:t xml:space="preserve"> </w:t>
      </w:r>
      <w:r>
        <w:rPr>
          <w:b/>
          <w:bCs/>
        </w:rPr>
        <w:t xml:space="preserve">Baking Soda Fresh</w:t>
      </w:r>
      <w:r>
        <w:t xml:space="preserve"> </w:t>
      </w:r>
      <w:r>
        <w:t xml:space="preserve">detergent and laundry sheets;</w:t>
      </w:r>
    </w:p>
    <w:p>
      <w:pPr>
        <w:pStyle w:val="Compact"/>
        <w:numPr>
          <w:ilvl w:val="0"/>
          <w:numId w:val="1003"/>
        </w:numPr>
      </w:pPr>
      <w:r>
        <w:t xml:space="preserve">Cat-litter volume, share, and promotion levels;</w:t>
      </w:r>
    </w:p>
    <w:p>
      <w:pPr>
        <w:pStyle w:val="Compact"/>
        <w:numPr>
          <w:ilvl w:val="0"/>
          <w:numId w:val="1003"/>
        </w:numPr>
      </w:pPr>
      <w:r>
        <w:t xml:space="preserve">Whether the value proposition helps CHD avoid taking price while protecting volume.</w:t>
      </w:r>
    </w:p>
    <w:bookmarkEnd w:id="15"/>
    <w:bookmarkStart w:id="16" w:name="X5b0331de66789ff284a6a8a6179217a2f77e1a3"/>
    <w:p>
      <w:pPr>
        <w:pStyle w:val="Heading3"/>
      </w:pPr>
      <w:r>
        <w:t xml:space="preserve">2. THERABREATH: A major structural growth engine</w:t>
      </w:r>
    </w:p>
    <w:p>
      <w:pPr>
        <w:pStyle w:val="FirstParagraph"/>
      </w:pPr>
      <w:r>
        <w:t xml:space="preserve">THERABREATH remains one of CHD’s most important growth assets. In 1Q, the brand posted record share gains in mouthwash, reaching</w:t>
      </w:r>
      <w:r>
        <w:t xml:space="preserve"> </w:t>
      </w:r>
      <w:r>
        <w:rPr>
          <w:b/>
          <w:bCs/>
        </w:rPr>
        <w:t xml:space="preserve">24.1% share</w:t>
      </w:r>
      <w:r>
        <w:t xml:space="preserve"> </w:t>
      </w:r>
      <w:r>
        <w:t xml:space="preserve">and holding the No. 2 position in the category. The new toothpaste line is an additional category-expansion opportunity.</w:t>
      </w:r>
    </w:p>
    <w:p>
      <w:pPr>
        <w:pStyle w:val="BodyText"/>
      </w:pPr>
      <w:r>
        <w:t xml:space="preserve">Watch for:</w:t>
      </w:r>
    </w:p>
    <w:p>
      <w:pPr>
        <w:pStyle w:val="Compact"/>
        <w:numPr>
          <w:ilvl w:val="0"/>
          <w:numId w:val="1004"/>
        </w:numPr>
      </w:pPr>
      <w:r>
        <w:t xml:space="preserve">Whether mouthwash distribution gains continue;</w:t>
      </w:r>
    </w:p>
    <w:p>
      <w:pPr>
        <w:pStyle w:val="Compact"/>
        <w:numPr>
          <w:ilvl w:val="0"/>
          <w:numId w:val="1004"/>
        </w:numPr>
      </w:pPr>
      <w:r>
        <w:t xml:space="preserve">Early retailer and consumer response to toothpaste;</w:t>
      </w:r>
    </w:p>
    <w:p>
      <w:pPr>
        <w:pStyle w:val="Compact"/>
        <w:numPr>
          <w:ilvl w:val="0"/>
          <w:numId w:val="1004"/>
        </w:numPr>
      </w:pPr>
      <w:r>
        <w:t xml:space="preserve">International contribution, where THERABREATH was also a driver;</w:t>
      </w:r>
    </w:p>
    <w:p>
      <w:pPr>
        <w:pStyle w:val="Compact"/>
        <w:numPr>
          <w:ilvl w:val="0"/>
          <w:numId w:val="1004"/>
        </w:numPr>
      </w:pPr>
      <w:r>
        <w:t xml:space="preserve">Evidence that low household penetration and relatively limited shelf presence remain runway rather than execution constraints.</w:t>
      </w:r>
    </w:p>
    <w:bookmarkEnd w:id="16"/>
    <w:bookmarkStart w:id="17" w:name="Xb81ee70eb63b2318b09c6d4d1e9f39cdef5d8f5"/>
    <w:p>
      <w:pPr>
        <w:pStyle w:val="Heading3"/>
      </w:pPr>
      <w:r>
        <w:t xml:space="preserve">3. HERO: Innovation and distribution need to sustain growth</w:t>
      </w:r>
    </w:p>
    <w:p>
      <w:pPr>
        <w:pStyle w:val="FirstParagraph"/>
      </w:pPr>
      <w:r>
        <w:t xml:space="preserve">HERO continued to outgrow its category in 1Q, supported by distribution, marketing activations, and the</w:t>
      </w:r>
      <w:r>
        <w:t xml:space="preserve"> </w:t>
      </w:r>
      <w:r>
        <w:rPr>
          <w:b/>
          <w:bCs/>
        </w:rPr>
        <w:t xml:space="preserve">Mighty Shield</w:t>
      </w:r>
      <w:r>
        <w:t xml:space="preserve"> </w:t>
      </w:r>
      <w:r>
        <w:t xml:space="preserve">innovation. Management had planned a national mid-year launch for HERO facial cleansers, making 2Q commentary on retailer placement, launch timing, and early reception relevant.</w:t>
      </w:r>
    </w:p>
    <w:p>
      <w:pPr>
        <w:pStyle w:val="BodyText"/>
      </w:pPr>
      <w:r>
        <w:t xml:space="preserve">Watch for:</w:t>
      </w:r>
    </w:p>
    <w:p>
      <w:pPr>
        <w:pStyle w:val="Compact"/>
        <w:numPr>
          <w:ilvl w:val="0"/>
          <w:numId w:val="1005"/>
        </w:numPr>
      </w:pPr>
      <w:r>
        <w:t xml:space="preserve">Performance of Mighty Shield;</w:t>
      </w:r>
    </w:p>
    <w:p>
      <w:pPr>
        <w:pStyle w:val="Compact"/>
        <w:numPr>
          <w:ilvl w:val="0"/>
          <w:numId w:val="1005"/>
        </w:numPr>
      </w:pPr>
      <w:r>
        <w:t xml:space="preserve">National rollout of facial cleansers;</w:t>
      </w:r>
    </w:p>
    <w:p>
      <w:pPr>
        <w:pStyle w:val="Compact"/>
        <w:numPr>
          <w:ilvl w:val="0"/>
          <w:numId w:val="1005"/>
        </w:numPr>
      </w:pPr>
      <w:r>
        <w:t xml:space="preserve">Growth versus the acne-treatment category;</w:t>
      </w:r>
    </w:p>
    <w:p>
      <w:pPr>
        <w:pStyle w:val="Compact"/>
        <w:numPr>
          <w:ilvl w:val="0"/>
          <w:numId w:val="1005"/>
        </w:numPr>
      </w:pPr>
      <w:r>
        <w:t xml:space="preserve">Whether HERO’s premium positioning remains resilient as consumers become more value conscious.</w:t>
      </w:r>
    </w:p>
    <w:bookmarkEnd w:id="17"/>
    <w:bookmarkStart w:id="18" w:name="X0b74cd628e1037a0187b3bb9bca58ca77d01cf9"/>
    <w:p>
      <w:pPr>
        <w:pStyle w:val="Heading3"/>
      </w:pPr>
      <w:r>
        <w:t xml:space="preserve">4. Touchland: The highest-visibility execution question</w:t>
      </w:r>
    </w:p>
    <w:p>
      <w:pPr>
        <w:pStyle w:val="FirstParagraph"/>
      </w:pPr>
      <w:r>
        <w:t xml:space="preserve">Touchland consumption grew low double digits in 1Q on management’s all-in measure, though tracked-channel data appeared weaker because of difficult comparisons with prior holiday multipack activity and launch timing. Management still expected</w:t>
      </w:r>
      <w:r>
        <w:t xml:space="preserve"> </w:t>
      </w:r>
      <w:r>
        <w:rPr>
          <w:b/>
          <w:bCs/>
        </w:rPr>
        <w:t xml:space="preserve">double-digit full-year Touchland growth</w:t>
      </w:r>
      <w:r>
        <w:t xml:space="preserve">, supported by low household penetration, advertising, collaborations, and back-half activations.</w:t>
      </w:r>
    </w:p>
    <w:p>
      <w:pPr>
        <w:pStyle w:val="BodyText"/>
      </w:pPr>
      <w:r>
        <w:t xml:space="preserve">Watch for:</w:t>
      </w:r>
    </w:p>
    <w:p>
      <w:pPr>
        <w:pStyle w:val="Compact"/>
        <w:numPr>
          <w:ilvl w:val="0"/>
          <w:numId w:val="1006"/>
        </w:numPr>
      </w:pPr>
      <w:r>
        <w:t xml:space="preserve">A clear reconciliation between tracked consumption and total consumption;</w:t>
      </w:r>
    </w:p>
    <w:p>
      <w:pPr>
        <w:pStyle w:val="Compact"/>
        <w:numPr>
          <w:ilvl w:val="0"/>
          <w:numId w:val="1006"/>
        </w:numPr>
      </w:pPr>
      <w:r>
        <w:t xml:space="preserve">Growth by channel—club, Amazon, beauty, and other untracked channels;</w:t>
      </w:r>
    </w:p>
    <w:p>
      <w:pPr>
        <w:pStyle w:val="Compact"/>
        <w:numPr>
          <w:ilvl w:val="0"/>
          <w:numId w:val="1006"/>
        </w:numPr>
      </w:pPr>
      <w:r>
        <w:t xml:space="preserve">Integration progress and the run rate of amortization/SG&amp;A;</w:t>
      </w:r>
    </w:p>
    <w:p>
      <w:pPr>
        <w:pStyle w:val="Compact"/>
        <w:numPr>
          <w:ilvl w:val="0"/>
          <w:numId w:val="1006"/>
        </w:numPr>
      </w:pPr>
      <w:r>
        <w:t xml:space="preserve">The degree to which Touchland contributes to sales while diluting near-term margins.</w:t>
      </w:r>
    </w:p>
    <w:bookmarkEnd w:id="18"/>
    <w:bookmarkStart w:id="19" w:name="Xd6486b154898651a203385aa301ffebd5140a79"/>
    <w:p>
      <w:pPr>
        <w:pStyle w:val="Heading3"/>
      </w:pPr>
      <w:r>
        <w:t xml:space="preserve">5. International: Middle East and ERP execution</w:t>
      </w:r>
    </w:p>
    <w:p>
      <w:pPr>
        <w:pStyle w:val="FirstParagraph"/>
      </w:pPr>
      <w:r>
        <w:t xml:space="preserve">Management maintained a full-year view of roughly</w:t>
      </w:r>
      <w:r>
        <w:t xml:space="preserve"> </w:t>
      </w:r>
      <w:r>
        <w:rPr>
          <w:b/>
          <w:bCs/>
        </w:rPr>
        <w:t xml:space="preserve">7% organic growth</w:t>
      </w:r>
      <w:r>
        <w:t xml:space="preserve"> </w:t>
      </w:r>
      <w:r>
        <w:t xml:space="preserve">internationally, though it cited softer Middle East sales. The new ERP system went live in April, so the absence of customer-service, fulfillment, or operational disruptions would be a quiet but important positive.</w:t>
      </w:r>
    </w:p>
    <w:p>
      <w:r>
        <w:pict>
          <v:rect style="width:0;height:1.5pt" o:hralign="center" o:hrstd="t" o:hr="t"/>
        </w:pict>
      </w:r>
    </w:p>
    <w:bookmarkEnd w:id="19"/>
    <w:bookmarkEnd w:id="20"/>
    <w:bookmarkStart w:id="23" w:name="what-could-move-the-stock"/>
    <w:p>
      <w:pPr>
        <w:pStyle w:val="Heading2"/>
      </w:pPr>
      <w:r>
        <w:t xml:space="preserve">What could move the stock</w:t>
      </w:r>
    </w:p>
    <w:p>
      <w:pPr>
        <w:pStyle w:val="FirstParagraph"/>
      </w:pPr>
      <w:r>
        <w:t xml:space="preserve">CHD closed at</w:t>
      </w:r>
      <w:r>
        <w:t xml:space="preserve"> </w:t>
      </w:r>
      <m:oMath>
        <m:r>
          <m:t>97.70</m:t>
        </m:r>
        <m:r>
          <m:t>o</m:t>
        </m:r>
        <m:r>
          <m:t>n</m:t>
        </m:r>
        <m:r>
          <m:t>J</m:t>
        </m:r>
        <m:r>
          <m:t>u</m:t>
        </m:r>
        <m:r>
          <m:t>l</m:t>
        </m:r>
        <m:r>
          <m:t>y</m:t>
        </m:r>
        <m:r>
          <m:t>30</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96.02 on May 1</w:t>
      </w:r>
      <w:r>
        <w:t xml:space="preserve">, the day of its 1Q release. The shares had traded as high as</w:t>
      </w:r>
      <w:r>
        <w:t xml:space="preserve"> </w:t>
      </w:r>
      <w:r>
        <w:rPr>
          <w:b/>
          <w:bCs/>
        </w:rPr>
        <w:t xml:space="preserve">$99.93 on July 28</w:t>
      </w:r>
      <w:r>
        <w:t xml:space="preserve">, leaving the stock modestly below its recent pre-report peak. That suggests investors are not positioned for an obvious collapse in fundamentals, but the valuation of a defensive branded-consumer company still leaves sensitivity to any reduction in the back-half earnings outlook.</w:t>
      </w:r>
    </w:p>
    <w:bookmarkStart w:id="21" w:name="upside-scenario"/>
    <w:p>
      <w:pPr>
        <w:pStyle w:val="Heading3"/>
      </w:pPr>
      <w:r>
        <w:t xml:space="preserve">Upside scenario</w:t>
      </w:r>
    </w:p>
    <w:p>
      <w:pPr>
        <w:pStyle w:val="FirstParagraph"/>
      </w:pPr>
      <w:r>
        <w:t xml:space="preserve">A favorable report would likely include:</w:t>
      </w:r>
    </w:p>
    <w:p>
      <w:pPr>
        <w:pStyle w:val="Compact"/>
        <w:numPr>
          <w:ilvl w:val="0"/>
          <w:numId w:val="1007"/>
        </w:numPr>
      </w:pPr>
      <w:r>
        <w:rPr>
          <w:b/>
          <w:bCs/>
        </w:rPr>
        <w:t xml:space="preserve">Organic sales above 3%</w:t>
      </w:r>
      <w:r>
        <w:t xml:space="preserve">, with positive volume and broad-based category/share performance;</w:t>
      </w:r>
    </w:p>
    <w:p>
      <w:pPr>
        <w:pStyle w:val="Compact"/>
        <w:numPr>
          <w:ilvl w:val="0"/>
          <w:numId w:val="1007"/>
        </w:numPr>
      </w:pPr>
      <w:r>
        <w:t xml:space="preserve">Gross-margin expansion above the 50-bps guide despite transportation costs;</w:t>
      </w:r>
    </w:p>
    <w:p>
      <w:pPr>
        <w:pStyle w:val="Compact"/>
        <w:numPr>
          <w:ilvl w:val="0"/>
          <w:numId w:val="1007"/>
        </w:numPr>
      </w:pPr>
      <w:r>
        <w:t xml:space="preserve">A reiterated or improved full-year outlook;</w:t>
      </w:r>
    </w:p>
    <w:p>
      <w:pPr>
        <w:pStyle w:val="Compact"/>
        <w:numPr>
          <w:ilvl w:val="0"/>
          <w:numId w:val="1007"/>
        </w:numPr>
      </w:pPr>
      <w:r>
        <w:t xml:space="preserve">Stronger confidence in distribution gains, THERABREATH toothpaste, HERO innovation, and Touchland’s double-digit growth path;</w:t>
      </w:r>
    </w:p>
    <w:p>
      <w:pPr>
        <w:pStyle w:val="Compact"/>
        <w:numPr>
          <w:ilvl w:val="0"/>
          <w:numId w:val="1007"/>
        </w:numPr>
      </w:pPr>
      <w:r>
        <w:t xml:space="preserve">Confirmation that inflation is being contained through productivity without needing material pricing.</w:t>
      </w:r>
    </w:p>
    <w:bookmarkEnd w:id="21"/>
    <w:bookmarkStart w:id="22" w:name="downside-scenario"/>
    <w:p>
      <w:pPr>
        <w:pStyle w:val="Heading3"/>
      </w:pPr>
      <w:r>
        <w:t xml:space="preserve">Downside scenario</w:t>
      </w:r>
    </w:p>
    <w:p>
      <w:pPr>
        <w:pStyle w:val="FirstParagraph"/>
      </w:pPr>
      <w:r>
        <w:t xml:space="preserve">A negative reaction would be more likely if CHD reports:</w:t>
      </w:r>
    </w:p>
    <w:p>
      <w:pPr>
        <w:pStyle w:val="Compact"/>
        <w:numPr>
          <w:ilvl w:val="0"/>
          <w:numId w:val="1008"/>
        </w:numPr>
      </w:pPr>
      <w:r>
        <w:t xml:space="preserve">Organic growth below 3%, especially if volume weakens;</w:t>
      </w:r>
    </w:p>
    <w:p>
      <w:pPr>
        <w:pStyle w:val="Compact"/>
        <w:numPr>
          <w:ilvl w:val="0"/>
          <w:numId w:val="1008"/>
        </w:numPr>
      </w:pPr>
      <w:r>
        <w:t xml:space="preserve">A larger-than-expected gross-margin impact from commodities, freight, tariffs, or promotional intensity;</w:t>
      </w:r>
    </w:p>
    <w:p>
      <w:pPr>
        <w:pStyle w:val="Compact"/>
        <w:numPr>
          <w:ilvl w:val="0"/>
          <w:numId w:val="1008"/>
        </w:numPr>
      </w:pPr>
      <w:r>
        <w:t xml:space="preserve">Further slowing in Touchland or a more material integration-cost burden;</w:t>
      </w:r>
    </w:p>
    <w:p>
      <w:pPr>
        <w:pStyle w:val="Compact"/>
        <w:numPr>
          <w:ilvl w:val="0"/>
          <w:numId w:val="1008"/>
        </w:numPr>
      </w:pPr>
      <w:r>
        <w:t xml:space="preserve">International weakness that extends beyond the Middle East;</w:t>
      </w:r>
    </w:p>
    <w:p>
      <w:pPr>
        <w:pStyle w:val="Compact"/>
        <w:numPr>
          <w:ilvl w:val="0"/>
          <w:numId w:val="1008"/>
        </w:numPr>
      </w:pPr>
      <w:r>
        <w:t xml:space="preserve">A lower full-year gross-margin or EPS outlook, particularly because the current plan relies on a stronger second half.</w:t>
      </w:r>
    </w:p>
    <w:p>
      <w:r>
        <w:pict>
          <v:rect style="width:0;height:1.5pt" o:hralign="center" o:hrstd="t" o:hr="t"/>
        </w:pict>
      </w:r>
    </w:p>
    <w:bookmarkEnd w:id="22"/>
    <w:bookmarkEnd w:id="23"/>
    <w:bookmarkStart w:id="24" w:name="questions-for-the-earnings-call"/>
    <w:p>
      <w:pPr>
        <w:pStyle w:val="Heading2"/>
      </w:pPr>
      <w:r>
        <w:t xml:space="preserve">Questions for the earnings call</w:t>
      </w:r>
    </w:p>
    <w:p>
      <w:pPr>
        <w:pStyle w:val="Compact"/>
        <w:numPr>
          <w:ilvl w:val="0"/>
          <w:numId w:val="1009"/>
        </w:numPr>
      </w:pPr>
      <w:r>
        <w:rPr>
          <w:b/>
          <w:bCs/>
        </w:rPr>
        <w:t xml:space="preserve">Distribution:</w:t>
      </w:r>
      <w:r>
        <w:t xml:space="preserve"> </w:t>
      </w:r>
      <w:r>
        <w:t xml:space="preserve">How much of the announced distribution gain has converted into 2Q shipments and consumption, and what is the expected second-half contribution?</w:t>
      </w:r>
    </w:p>
    <w:p>
      <w:pPr>
        <w:pStyle w:val="Compact"/>
        <w:numPr>
          <w:ilvl w:val="0"/>
          <w:numId w:val="1009"/>
        </w:numPr>
      </w:pPr>
      <w:r>
        <w:rPr>
          <w:b/>
          <w:bCs/>
        </w:rPr>
        <w:t xml:space="preserve">Volume versus price/mix:</w:t>
      </w:r>
      <w:r>
        <w:t xml:space="preserve"> </w:t>
      </w:r>
      <w:r>
        <w:t xml:space="preserve">Can CHD sustain positive volume growth while price/mix remains slightly negative?</w:t>
      </w:r>
    </w:p>
    <w:p>
      <w:pPr>
        <w:pStyle w:val="Compact"/>
        <w:numPr>
          <w:ilvl w:val="0"/>
          <w:numId w:val="1009"/>
        </w:numPr>
      </w:pPr>
      <w:r>
        <w:rPr>
          <w:b/>
          <w:bCs/>
        </w:rPr>
        <w:t xml:space="preserve">Costs:</w:t>
      </w:r>
      <w:r>
        <w:t xml:space="preserve"> </w:t>
      </w:r>
      <w:r>
        <w:t xml:space="preserve">Has the estimated</w:t>
      </w:r>
      <w:r>
        <w:t xml:space="preserve"> </w:t>
      </w:r>
      <m:oMath>
        <m:r>
          <m:t>25</m:t>
        </m:r>
        <m:r>
          <m:t>m</m:t>
        </m:r>
        <m:r>
          <m:t>i</m:t>
        </m:r>
        <m:r>
          <m:t>l</m:t>
        </m:r>
        <m:r>
          <m:t>l</m:t>
        </m:r>
        <m:r>
          <m:t>i</m:t>
        </m:r>
        <m:r>
          <m:t>o</m:t>
        </m:r>
        <m:r>
          <m:t>n</m:t>
        </m:r>
        <m:r>
          <m:rPr>
            <m:sty m:val="p"/>
          </m:rPr>
          <m:t>–</m:t>
        </m:r>
      </m:oMath>
      <w:r>
        <w:t xml:space="preserve">30 million incremental commodity and transportation headwind changed? How much of the mitigation has already been secured?</w:t>
      </w:r>
    </w:p>
    <w:p>
      <w:pPr>
        <w:pStyle w:val="Compact"/>
        <w:numPr>
          <w:ilvl w:val="0"/>
          <w:numId w:val="1009"/>
        </w:numPr>
      </w:pPr>
      <w:r>
        <w:rPr>
          <w:b/>
          <w:bCs/>
        </w:rPr>
        <w:t xml:space="preserve">Gross margin:</w:t>
      </w:r>
      <w:r>
        <w:t xml:space="preserve"> </w:t>
      </w:r>
      <w:r>
        <w:t xml:space="preserve">Does the company still expect the 2Q margin cadence to be the year’s trough, with stronger expansion in the second half?</w:t>
      </w:r>
    </w:p>
    <w:p>
      <w:pPr>
        <w:pStyle w:val="Compact"/>
        <w:numPr>
          <w:ilvl w:val="0"/>
          <w:numId w:val="1009"/>
        </w:numPr>
      </w:pPr>
      <w:r>
        <w:rPr>
          <w:b/>
          <w:bCs/>
        </w:rPr>
        <w:t xml:space="preserve">Touchland:</w:t>
      </w:r>
      <w:r>
        <w:t xml:space="preserve"> </w:t>
      </w:r>
      <w:r>
        <w:t xml:space="preserve">Is the full-year double-digit growth outlook intact, and what are the latest tracked versus untracked channel trends?</w:t>
      </w:r>
    </w:p>
    <w:p>
      <w:pPr>
        <w:pStyle w:val="Compact"/>
        <w:numPr>
          <w:ilvl w:val="0"/>
          <w:numId w:val="1009"/>
        </w:numPr>
      </w:pPr>
      <w:r>
        <w:rPr>
          <w:b/>
          <w:bCs/>
        </w:rPr>
        <w:t xml:space="preserve">THERABREATH and HERO:</w:t>
      </w:r>
      <w:r>
        <w:t xml:space="preserve"> </w:t>
      </w:r>
      <w:r>
        <w:t xml:space="preserve">What are the early velocity, distribution, and repeat-purchase indicators for toothpaste, Mighty Shield, and facial cleansers?</w:t>
      </w:r>
    </w:p>
    <w:p>
      <w:pPr>
        <w:pStyle w:val="Compact"/>
        <w:numPr>
          <w:ilvl w:val="0"/>
          <w:numId w:val="1009"/>
        </w:numPr>
      </w:pPr>
      <w:r>
        <w:rPr>
          <w:b/>
          <w:bCs/>
        </w:rPr>
        <w:t xml:space="preserve">International:</w:t>
      </w:r>
      <w:r>
        <w:t xml:space="preserve"> </w:t>
      </w:r>
      <w:r>
        <w:t xml:space="preserve">Did the April ERP go-live cause any disruption, and is the approximately 7% full-year international organic-growth framework still achievable?</w:t>
      </w:r>
    </w:p>
    <w:p>
      <w:pPr>
        <w:pStyle w:val="Compact"/>
        <w:numPr>
          <w:ilvl w:val="0"/>
          <w:numId w:val="1009"/>
        </w:numPr>
      </w:pPr>
      <w:r>
        <w:rPr>
          <w:b/>
          <w:bCs/>
        </w:rPr>
        <w:t xml:space="preserve">Portfolio and capital allocation:</w:t>
      </w:r>
      <w:r>
        <w:t xml:space="preserve"> </w:t>
      </w:r>
      <w:r>
        <w:t xml:space="preserve">With the 2025 divestiture actions largely absorbed, what is the current appetite for additional international or consumables-focused M&amp;A?</w:t>
      </w:r>
    </w:p>
    <w:p>
      <w:r>
        <w:pict>
          <v:rect style="width:0;height:1.5pt" o:hralign="center" o:hrstd="t" o:hr="t"/>
        </w:pict>
      </w:r>
    </w:p>
    <w:bookmarkEnd w:id="24"/>
    <w:bookmarkStart w:id="25" w:name="bottom-line"/>
    <w:p>
      <w:pPr>
        <w:pStyle w:val="Heading2"/>
      </w:pPr>
      <w:r>
        <w:t xml:space="preserve">Bottom line</w:t>
      </w:r>
    </w:p>
    <w:p>
      <w:pPr>
        <w:pStyle w:val="FirstParagraph"/>
      </w:pPr>
      <w:r>
        <w:rPr>
          <w:b/>
          <w:bCs/>
        </w:rPr>
        <w:t xml:space="preserve">CHD’s 2Q26 report is primarily a validation quarter.</w:t>
      </w:r>
      <w:r>
        <w:t xml:space="preserve"> </w:t>
      </w:r>
      <w:r>
        <w:t xml:space="preserve">Management has already set a modest EPS bar and a normalized 3% organic-sales target, while explicitly telling investors that earnings growth should accelerate in the second half. Therefore, the most valuable evidence will be whether volume-led growth, share gains, new-product execution, and productivity are sufficiently durable to make that second-half acceleration credible.</w:t>
      </w:r>
    </w:p>
    <w:p>
      <w:pPr>
        <w:pStyle w:val="BodyText"/>
      </w:pPr>
      <w:r>
        <w:t xml:space="preserve">A 3% organic-growth result with healthy volume, intact gross-margin recovery, and reaffirmed full-year guidance would be consistent with CHD’s investment case. The higher bar is evidence that the large distribution gains and innovation pipeline can push growth above guidance without forcing additional promotional or pricing concessions.</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2026-07-31T00:24:03Z</dcterms:created>
  <dcterms:modified xsi:type="dcterms:W3CDTF">2026-07-31T00:24:03Z</dcterms:modified>
</cp:coreProperties>
</file>

<file path=docProps/custom.xml><?xml version="1.0" encoding="utf-8"?>
<Properties xmlns="http://schemas.openxmlformats.org/officeDocument/2006/custom-properties" xmlns:vt="http://schemas.openxmlformats.org/officeDocument/2006/docPropsVTypes"/>
</file>