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d-earnings-predictions--2026-07-31"/>
    <w:p>
      <w:pPr>
        <w:pStyle w:val="Heading1"/>
      </w:pPr>
      <w:r>
        <w:t xml:space="preserve">CHD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~$0.91 vs. cons $0.894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vs. cons 3.25%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~$1,510M vs. cons $1,503M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- Q3 2026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~$0.87-0.89 vs. cons $0.893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- FY 2026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reiterate</w:t>
            </w:r>
            <w:r>
              <w:t xml:space="preserve"> </w:t>
            </w:r>
            <m:oMath>
              <m:r>
                <m:t>3.70</m:t>
              </m:r>
              <m:r>
                <m:rPr>
                  <m:sty m:val="p"/>
                </m:rPr>
                <m:t>−</m:t>
              </m:r>
            </m:oMath>
            <w:r>
              <w:t xml:space="preserve">3.80 vs. cons $3.753 (implicit H2 cut)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- FY 2026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3-4% vs. cons 3.77%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STABILIZE - organic beat floors the stock; Q3 guide below cons trims H2 estimates modestly; no further catalyst to drive sustained selling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2026-08-02T02:00:38Z</dcterms:created>
  <dcterms:modified xsi:type="dcterms:W3CDTF">2026-08-02T02:00:38Z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