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Church &amp; Dwight Co., Inc. (CHD) — Earnings Preview</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Company</w:t>
            </w:r>
          </w:p>
        </w:tc>
        <w:tc>
          <w:tcPr>
            <w:tcW w:type="dxa" w:w="1440"/>
          </w:tcPr>
          <w:p>
            <w:r>
              <w:rPr>
                <w:rFonts w:ascii="Calibri" w:hAnsi="Calibri"/>
                <w:sz w:val="22"/>
              </w:rPr>
              <w:t>Church &amp; Dwight Co., Inc. (CHD)</w:t>
            </w:r>
          </w:p>
        </w:tc>
        <w:tc>
          <w:tcPr>
            <w:tcW w:type="dxa" w:w="1440"/>
          </w:tcPr>
          <w:p>
            <w:r>
              <w:rPr>
                <w:rFonts w:ascii="Calibri" w:hAnsi="Calibri"/>
                <w:b/>
                <w:sz w:val="22"/>
              </w:rPr>
              <w:t>Upcoming Earnings</w:t>
            </w:r>
          </w:p>
        </w:tc>
        <w:tc>
          <w:tcPr>
            <w:tcW w:type="dxa" w:w="1440"/>
          </w:tcPr>
          <w:p>
            <w:r>
              <w:rPr>
                <w:rFonts w:ascii="Calibri" w:hAnsi="Calibri"/>
                <w:sz w:val="22"/>
              </w:rPr>
              <w:t>July 31, 2026 (Q2 2026)</w:t>
            </w:r>
          </w:p>
        </w:tc>
        <w:tc>
          <w:tcPr>
            <w:tcW w:type="dxa" w:w="1440"/>
          </w:tcPr>
          <w:p>
            <w:r>
              <w:rPr>
                <w:rFonts w:ascii="Calibri" w:hAnsi="Calibri"/>
                <w:b/>
                <w:sz w:val="22"/>
              </w:rPr>
              <w:t>Prepared</w:t>
            </w:r>
          </w:p>
        </w:tc>
        <w:tc>
          <w:tcPr>
            <w:tcW w:type="dxa" w:w="1440"/>
          </w:tcPr>
          <w:p>
            <w:r>
              <w:rPr>
                <w:rFonts w:ascii="Calibri" w:hAnsi="Calibri"/>
                <w:sz w:val="22"/>
              </w:rPr>
              <w:t>July 30,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a modest beat or in-line print, with the single biggest swing factor being whether marketing/SG&amp;A investment lands as guided or surprises to the upside, given management's explicit $0.88 adjusted EPS guide that came in well below the Street's prior expectations.</w:t>
      </w:r>
    </w:p>
    <w:p>
      <w:r>
        <w:rPr>
          <w:rFonts w:ascii="Calibri" w:hAnsi="Calibri"/>
          <w:color w:val="525866"/>
          <w:sz w:val="22"/>
        </w:rPr>
        <w:t xml:space="preserve">Heading into Q2 2026, the bar for CHD is relatively well-defined: management guided explicitly to </w:t>
      </w:r>
      <w:r>
        <w:rPr>
          <w:rFonts w:ascii="Calibri" w:hAnsi="Calibri"/>
          <w:b/>
          <w:color w:val="525866"/>
          <w:sz w:val="22"/>
        </w:rPr>
        <w:t>organic sales growth of ~3%</w:t>
      </w:r>
      <w:r>
        <w:rPr>
          <w:rFonts w:ascii="Calibri" w:hAnsi="Calibri"/>
          <w:color w:val="525866"/>
          <w:sz w:val="22"/>
        </w:rPr>
        <w:t xml:space="preserve"> and </w:t>
      </w:r>
      <w:r>
        <w:rPr>
          <w:rFonts w:ascii="Calibri" w:hAnsi="Calibri"/>
          <w:b/>
          <w:color w:val="525866"/>
          <w:sz w:val="22"/>
        </w:rPr>
        <w:t>adjusted EPS of $0.88</w:t>
      </w:r>
      <w:r>
        <w:rPr>
          <w:rFonts w:ascii="Calibri" w:hAnsi="Calibri"/>
          <w:color w:val="525866"/>
          <w:sz w:val="22"/>
        </w:rPr>
        <w:t xml:space="preserve"> — both figures that were reset lower at the Q1 print on May 1, leaving consensus anchored close to guidance rather than above it. The tone from management has been constructive on the top line (volume-driven growth, record distribution gains, broad-based share momentum) but deliberately cautious on near-term earnings, as elevated marketing spend and Touchland-related SG&amp;A/amortization are expected to more than offset ~50 bps of gross margin expansion in the quarter. Estimate revisions since the Q1 print have been modest and directionally in line with guidance, suggesting the Street has largely digested the reset and is not positioned for a large surprise in either direction. The stock has traded essentially flat since the Q1 earnings date (up ~1.7% vs. XLP +1.5% and SPY +2.9%), implying the market has neither priced in a meaningful beat nor is braced for a miss. The key wildcard is </w:t>
      </w:r>
      <w:r>
        <w:rPr>
          <w:rFonts w:ascii="Calibri" w:hAnsi="Calibri"/>
          <w:b/>
          <w:color w:val="525866"/>
          <w:sz w:val="22"/>
        </w:rPr>
        <w:t>Touchland consumption trends</w:t>
      </w:r>
      <w:r>
        <w:rPr>
          <w:rFonts w:ascii="Calibri" w:hAnsi="Calibri"/>
          <w:color w:val="525866"/>
          <w:sz w:val="22"/>
        </w:rPr>
        <w:t xml:space="preserve"> — tracked channel data showed a ~20% decline in Q1 (though management cited untracked channels showing +12–13% all-in growth), and any further deterioration or, conversely, a recovery in tracked data could meaningfully shift sentiment on the brand's growth trajectory and the premium multiple CHD commands for its innovation pipeline.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low-to-fair bar heading into Q2 — anchored tightly to management's own guidance after the Q1 reset. </w:t>
      </w:r>
      <w:r>
        <w:rPr>
          <w:rFonts w:ascii="Calibri" w:hAnsi="Calibri"/>
          <w:b/>
          <w:color w:val="525866"/>
          <w:sz w:val="22"/>
        </w:rPr>
        <w:t>Adjusted EPS ($0.88 guide vs. $0.894 consensus)</w:t>
      </w:r>
      <w:r>
        <w:rPr>
          <w:rFonts w:ascii="Calibri" w:hAnsi="Calibri"/>
          <w:color w:val="525866"/>
          <w:sz w:val="22"/>
        </w:rPr>
        <w:t xml:space="preserve"> is the bigger swing factor, as marketing/SG&amp;A investment timing is the key variable; organic sales growth (~3% guide vs. ~3.25% consensus) is the secondary driver.</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(Cons. vs. PY)</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Net Sales ($M)</w:t>
            </w:r>
          </w:p>
        </w:tc>
        <w:tc>
          <w:tcPr>
            <w:tcW w:type="dxa" w:w="1234"/>
          </w:tcPr>
          <w:p>
            <w:r>
              <w:rPr>
                <w:rFonts w:ascii="Calibri" w:hAnsi="Calibri"/>
                <w:sz w:val="22"/>
              </w:rPr>
              <w:t>$1,469.3M</w:t>
            </w:r>
          </w:p>
        </w:tc>
        <w:tc>
          <w:tcPr>
            <w:tcW w:type="dxa" w:w="1234"/>
          </w:tcPr>
          <w:p>
            <w:r>
              <w:rPr>
                <w:rFonts w:ascii="Calibri" w:hAnsi="Calibri"/>
                <w:sz w:val="22"/>
              </w:rPr>
              <w:t>$1,506.3M</w:t>
            </w:r>
          </w:p>
        </w:tc>
        <w:tc>
          <w:tcPr>
            <w:tcW w:type="dxa" w:w="1234"/>
          </w:tcPr>
          <w:p>
            <w:r>
              <w:rPr>
                <w:rFonts w:ascii="Calibri" w:hAnsi="Calibri"/>
                <w:sz w:val="22"/>
              </w:rPr>
              <w:t>$1,502.9M</w:t>
            </w:r>
          </w:p>
        </w:tc>
        <w:tc>
          <w:tcPr>
            <w:tcW w:type="dxa" w:w="1234"/>
          </w:tcPr>
          <w:p>
            <w:r>
              <w:rPr>
                <w:rFonts w:ascii="Calibri" w:hAnsi="Calibri"/>
                <w:sz w:val="22"/>
              </w:rPr>
              <w:t>−0.2%</w:t>
            </w:r>
          </w:p>
        </w:tc>
        <w:tc>
          <w:tcPr>
            <w:tcW w:type="dxa" w:w="1234"/>
          </w:tcPr>
          <w:p>
            <w:r>
              <w:rPr>
                <w:rFonts w:ascii="Calibri" w:hAnsi="Calibri"/>
                <w:sz w:val="22"/>
              </w:rPr>
              <w:t>Reported sales ~−1% YoY</w:t>
            </w:r>
          </w:p>
        </w:tc>
        <w:tc>
          <w:tcPr>
            <w:tcW w:type="dxa" w:w="1234"/>
          </w:tcPr>
          <w:p>
            <w:r>
              <w:rPr>
                <w:rFonts w:ascii="Calibri" w:hAnsi="Calibri"/>
                <w:sz w:val="22"/>
              </w:rPr>
              <w:t>~−0.2% vs. midpoint</w:t>
            </w:r>
          </w:p>
        </w:tc>
      </w:tr>
      <w:tr>
        <w:tc>
          <w:tcPr>
            <w:tcW w:type="dxa" w:w="1234"/>
          </w:tcPr>
          <w:p>
            <w:r>
              <w:rPr>
                <w:rFonts w:ascii="Calibri" w:hAnsi="Calibri"/>
                <w:sz w:val="22"/>
              </w:rPr>
              <w:t>Organic Sales Growth (%)</w:t>
            </w:r>
          </w:p>
        </w:tc>
        <w:tc>
          <w:tcPr>
            <w:tcW w:type="dxa" w:w="1234"/>
          </w:tcPr>
          <w:p>
            <w:r>
              <w:rPr>
                <w:rFonts w:ascii="Calibri" w:hAnsi="Calibri"/>
                <w:sz w:val="22"/>
              </w:rPr>
              <w:t>+5.0%</w:t>
            </w:r>
          </w:p>
        </w:tc>
        <w:tc>
          <w:tcPr>
            <w:tcW w:type="dxa" w:w="1234"/>
          </w:tcPr>
          <w:p>
            <w:r>
              <w:rPr>
                <w:rFonts w:ascii="Calibri" w:hAnsi="Calibri"/>
                <w:sz w:val="22"/>
              </w:rPr>
              <w:t>+0.1%</w:t>
            </w:r>
          </w:p>
        </w:tc>
        <w:tc>
          <w:tcPr>
            <w:tcW w:type="dxa" w:w="1234"/>
          </w:tcPr>
          <w:p>
            <w:r>
              <w:rPr>
                <w:rFonts w:ascii="Calibri" w:hAnsi="Calibri"/>
                <w:sz w:val="22"/>
              </w:rPr>
              <w:t>+3.25%</w:t>
            </w:r>
          </w:p>
        </w:tc>
        <w:tc>
          <w:tcPr>
            <w:tcW w:type="dxa" w:w="1234"/>
          </w:tcPr>
          <w:p>
            <w:r>
              <w:rPr>
                <w:rFonts w:ascii="Calibri" w:hAnsi="Calibri"/>
                <w:sz w:val="22"/>
              </w:rPr>
              <w:t>+3.15 pts YoY</w:t>
            </w:r>
          </w:p>
        </w:tc>
        <w:tc>
          <w:tcPr>
            <w:tcW w:type="dxa" w:w="1234"/>
          </w:tcPr>
          <w:p>
            <w:r>
              <w:rPr>
                <w:rFonts w:ascii="Calibri" w:hAnsi="Calibri"/>
                <w:sz w:val="22"/>
              </w:rPr>
              <w:t>~3%</w:t>
            </w:r>
          </w:p>
        </w:tc>
        <w:tc>
          <w:tcPr>
            <w:tcW w:type="dxa" w:w="1234"/>
          </w:tcPr>
          <w:p>
            <w:r>
              <w:rPr>
                <w:rFonts w:ascii="Calibri" w:hAnsi="Calibri"/>
                <w:sz w:val="22"/>
              </w:rPr>
              <w:t>+~25 bps above guide</w:t>
            </w:r>
          </w:p>
        </w:tc>
      </w:tr>
      <w:tr>
        <w:tc>
          <w:tcPr>
            <w:tcW w:type="dxa" w:w="1234"/>
          </w:tcPr>
          <w:p>
            <w:r>
              <w:rPr>
                <w:rFonts w:ascii="Calibri" w:hAnsi="Calibri"/>
                <w:sz w:val="22"/>
              </w:rPr>
              <w:t>Adjusted EPS - Diluted ($)</w:t>
            </w:r>
          </w:p>
        </w:tc>
        <w:tc>
          <w:tcPr>
            <w:tcW w:type="dxa" w:w="1234"/>
          </w:tcPr>
          <w:p>
            <w:r>
              <w:rPr>
                <w:rFonts w:ascii="Calibri" w:hAnsi="Calibri"/>
                <w:sz w:val="22"/>
              </w:rPr>
              <w:t>$0.95</w:t>
            </w:r>
          </w:p>
        </w:tc>
        <w:tc>
          <w:tcPr>
            <w:tcW w:type="dxa" w:w="1234"/>
          </w:tcPr>
          <w:p>
            <w:r>
              <w:rPr>
                <w:rFonts w:ascii="Calibri" w:hAnsi="Calibri"/>
                <w:sz w:val="22"/>
              </w:rPr>
              <w:t>$0.94</w:t>
            </w:r>
          </w:p>
        </w:tc>
        <w:tc>
          <w:tcPr>
            <w:tcW w:type="dxa" w:w="1234"/>
          </w:tcPr>
          <w:p>
            <w:r>
              <w:rPr>
                <w:rFonts w:ascii="Calibri" w:hAnsi="Calibri"/>
                <w:sz w:val="22"/>
              </w:rPr>
              <w:t>$0.894</w:t>
            </w:r>
          </w:p>
        </w:tc>
        <w:tc>
          <w:tcPr>
            <w:tcW w:type="dxa" w:w="1234"/>
          </w:tcPr>
          <w:p>
            <w:r>
              <w:rPr>
                <w:rFonts w:ascii="Calibri" w:hAnsi="Calibri"/>
                <w:sz w:val="22"/>
              </w:rPr>
              <w:t>−4.9%</w:t>
            </w:r>
          </w:p>
        </w:tc>
        <w:tc>
          <w:tcPr>
            <w:tcW w:type="dxa" w:w="1234"/>
          </w:tcPr>
          <w:p>
            <w:r>
              <w:rPr>
                <w:rFonts w:ascii="Calibri" w:hAnsi="Calibri"/>
                <w:sz w:val="22"/>
              </w:rPr>
              <w:t>$0.88</w:t>
            </w:r>
          </w:p>
        </w:tc>
        <w:tc>
          <w:tcPr>
            <w:tcW w:type="dxa" w:w="1234"/>
          </w:tcPr>
          <w:p>
            <w:r>
              <w:rPr>
                <w:rFonts w:ascii="Calibri" w:hAnsi="Calibri"/>
                <w:sz w:val="22"/>
              </w:rPr>
              <w:t>+~1.6% above guide</w:t>
            </w:r>
          </w:p>
        </w:tc>
      </w:tr>
      <w:tr>
        <w:tc>
          <w:tcPr>
            <w:tcW w:type="dxa" w:w="1234"/>
          </w:tcPr>
          <w:p>
            <w:r>
              <w:rPr>
                <w:rFonts w:ascii="Calibri" w:hAnsi="Calibri"/>
                <w:sz w:val="22"/>
              </w:rPr>
              <w:t>Gross Profit - Operating ($M)</w:t>
            </w:r>
          </w:p>
        </w:tc>
        <w:tc>
          <w:tcPr>
            <w:tcW w:type="dxa" w:w="1234"/>
          </w:tcPr>
          <w:p>
            <w:r>
              <w:rPr>
                <w:rFonts w:ascii="Calibri" w:hAnsi="Calibri"/>
                <w:sz w:val="22"/>
              </w:rPr>
              <w:t>$681.4M</w:t>
            </w:r>
          </w:p>
        </w:tc>
        <w:tc>
          <w:tcPr>
            <w:tcW w:type="dxa" w:w="1234"/>
          </w:tcPr>
          <w:p>
            <w:r>
              <w:rPr>
                <w:rFonts w:ascii="Calibri" w:hAnsi="Calibri"/>
                <w:sz w:val="22"/>
              </w:rPr>
              <w:t>$677.4M</w:t>
            </w:r>
          </w:p>
        </w:tc>
        <w:tc>
          <w:tcPr>
            <w:tcW w:type="dxa" w:w="1234"/>
          </w:tcPr>
          <w:p>
            <w:r>
              <w:rPr>
                <w:rFonts w:ascii="Calibri" w:hAnsi="Calibri"/>
                <w:sz w:val="22"/>
              </w:rPr>
              <w:t>$683.7M</w:t>
            </w:r>
          </w:p>
        </w:tc>
        <w:tc>
          <w:tcPr>
            <w:tcW w:type="dxa" w:w="1234"/>
          </w:tcPr>
          <w:p>
            <w:r>
              <w:rPr>
                <w:rFonts w:ascii="Calibri" w:hAnsi="Calibri"/>
                <w:sz w:val="22"/>
              </w:rPr>
              <w:t>+~0.9%</w:t>
            </w:r>
          </w:p>
        </w:tc>
        <w:tc>
          <w:tcPr>
            <w:tcW w:type="dxa" w:w="1234"/>
          </w:tcPr>
          <w:p>
            <w:r>
              <w:rPr>
                <w:rFonts w:ascii="Calibri" w:hAnsi="Calibri"/>
                <w:sz w:val="22"/>
              </w:rPr>
              <w:t>~+50 bps expansion</w:t>
            </w:r>
          </w:p>
        </w:tc>
        <w:tc>
          <w:tcPr>
            <w:tcW w:type="dxa" w:w="1234"/>
          </w:tcPr>
          <w:p>
            <w:r>
              <w:rPr>
                <w:rFonts w:ascii="Calibri" w:hAnsi="Calibri"/>
                <w:sz w:val="22"/>
              </w:rPr>
              <w:t>In line with guide</w:t>
            </w:r>
          </w:p>
        </w:tc>
      </w:tr>
      <w:tr>
        <w:tc>
          <w:tcPr>
            <w:tcW w:type="dxa" w:w="1234"/>
          </w:tcPr>
          <w:p>
            <w:r>
              <w:rPr>
                <w:rFonts w:ascii="Calibri" w:hAnsi="Calibri"/>
                <w:sz w:val="22"/>
              </w:rPr>
              <w:t>Volume Growth (%)</w:t>
            </w:r>
          </w:p>
        </w:tc>
        <w:tc>
          <w:tcPr>
            <w:tcW w:type="dxa" w:w="1234"/>
          </w:tcPr>
          <w:p>
            <w:r>
              <w:rPr>
                <w:rFonts w:ascii="Calibri" w:hAnsi="Calibri"/>
                <w:sz w:val="22"/>
              </w:rPr>
              <w:t>+5.3%</w:t>
            </w:r>
          </w:p>
        </w:tc>
        <w:tc>
          <w:tcPr>
            <w:tcW w:type="dxa" w:w="1234"/>
          </w:tcPr>
          <w:p>
            <w:r>
              <w:rPr>
                <w:rFonts w:ascii="Calibri" w:hAnsi="Calibri"/>
                <w:sz w:val="22"/>
              </w:rPr>
              <w:t>+0.8%</w:t>
            </w:r>
          </w:p>
        </w:tc>
        <w:tc>
          <w:tcPr>
            <w:tcW w:type="dxa" w:w="1234"/>
          </w:tcPr>
          <w:p>
            <w:r>
              <w:rPr>
                <w:rFonts w:ascii="Calibri" w:hAnsi="Calibri"/>
                <w:sz w:val="22"/>
              </w:rPr>
              <w:t>+3.16%</w:t>
            </w:r>
          </w:p>
        </w:tc>
        <w:tc>
          <w:tcPr>
            <w:tcW w:type="dxa" w:w="1234"/>
          </w:tcPr>
          <w:p>
            <w:r>
              <w:rPr>
                <w:rFonts w:ascii="Calibri" w:hAnsi="Calibri"/>
                <w:sz w:val="22"/>
              </w:rPr>
              <w:t>+2.36 pts YoY</w:t>
            </w:r>
          </w:p>
        </w:tc>
        <w:tc>
          <w:tcPr>
            <w:tcW w:type="dxa" w:w="1234"/>
          </w:tcPr>
          <w:p>
            <w:r>
              <w:rPr>
                <w:rFonts w:ascii="Calibri" w:hAnsi="Calibri"/>
                <w:sz w:val="22"/>
              </w:rPr>
              <w:t>Volume-led growth</w:t>
            </w:r>
          </w:p>
        </w:tc>
        <w:tc>
          <w:tcPr>
            <w:tcW w:type="dxa" w:w="1234"/>
          </w:tcPr>
          <w:p>
            <w:r>
              <w:rPr>
                <w:rFonts w:ascii="Calibri" w:hAnsi="Calibri"/>
                <w:sz w:val="22"/>
              </w:rPr>
              <w:t>N/A (no explicit vol. guide)</w:t>
            </w:r>
          </w:p>
        </w:tc>
      </w:tr>
      <w:tr>
        <w:tc>
          <w:tcPr>
            <w:tcW w:type="dxa" w:w="1234"/>
          </w:tcPr>
          <w:p>
            <w:r>
              <w:rPr>
                <w:rFonts w:ascii="Calibri" w:hAnsi="Calibri"/>
                <w:sz w:val="22"/>
              </w:rPr>
              <w:t>Price/Mix (%)</w:t>
            </w:r>
          </w:p>
        </w:tc>
        <w:tc>
          <w:tcPr>
            <w:tcW w:type="dxa" w:w="1234"/>
          </w:tcPr>
          <w:p>
            <w:r>
              <w:rPr>
                <w:rFonts w:ascii="Calibri" w:hAnsi="Calibri"/>
                <w:sz w:val="22"/>
              </w:rPr>
              <w:t>−0.3%</w:t>
            </w:r>
          </w:p>
        </w:tc>
        <w:tc>
          <w:tcPr>
            <w:tcW w:type="dxa" w:w="1234"/>
          </w:tcPr>
          <w:p>
            <w:r>
              <w:rPr>
                <w:rFonts w:ascii="Calibri" w:hAnsi="Calibri"/>
                <w:sz w:val="22"/>
              </w:rPr>
              <w:t>−0.7%</w:t>
            </w:r>
          </w:p>
        </w:tc>
        <w:tc>
          <w:tcPr>
            <w:tcW w:type="dxa" w:w="1234"/>
          </w:tcPr>
          <w:p>
            <w:r>
              <w:rPr>
                <w:rFonts w:ascii="Calibri" w:hAnsi="Calibri"/>
                <w:sz w:val="22"/>
              </w:rPr>
              <w:t>+0.13%</w:t>
            </w:r>
          </w:p>
        </w:tc>
        <w:tc>
          <w:tcPr>
            <w:tcW w:type="dxa" w:w="1234"/>
          </w:tcPr>
          <w:p>
            <w:r>
              <w:rPr>
                <w:rFonts w:ascii="Calibri" w:hAnsi="Calibri"/>
                <w:sz w:val="22"/>
              </w:rPr>
              <w:t>+0.83 pts YoY</w:t>
            </w:r>
          </w:p>
        </w:tc>
        <w:tc>
          <w:tcPr>
            <w:tcW w:type="dxa" w:w="1234"/>
          </w:tcPr>
          <w:p>
            <w:r>
              <w:rPr>
                <w:rFonts w:ascii="Calibri" w:hAnsi="Calibri"/>
                <w:sz w:val="22"/>
              </w:rPr>
              <w:t>Modest positive mix</w:t>
            </w:r>
          </w:p>
        </w:tc>
        <w:tc>
          <w:tcPr>
            <w:tcW w:type="dxa" w:w="1234"/>
          </w:tcPr>
          <w:p>
            <w:r>
              <w:rPr>
                <w:rFonts w:ascii="Calibri" w:hAnsi="Calibri"/>
                <w:sz w:val="22"/>
              </w:rPr>
              <w:t>N/A (no explicit guide)</w:t>
            </w:r>
          </w:p>
        </w:tc>
      </w:tr>
      <w:tr>
        <w:tc>
          <w:tcPr>
            <w:tcW w:type="dxa" w:w="1234"/>
          </w:tcPr>
          <w:p>
            <w:r>
              <w:rPr>
                <w:rFonts w:ascii="Calibri" w:hAnsi="Calibri"/>
                <w:sz w:val="22"/>
              </w:rPr>
              <w:t>Marketing Expense ($M)</w:t>
            </w:r>
          </w:p>
        </w:tc>
        <w:tc>
          <w:tcPr>
            <w:tcW w:type="dxa" w:w="1234"/>
          </w:tcPr>
          <w:p>
            <w:r>
              <w:rPr>
                <w:rFonts w:ascii="Calibri" w:hAnsi="Calibri"/>
                <w:sz w:val="22"/>
              </w:rPr>
              <w:t>$139.4M</w:t>
            </w:r>
          </w:p>
        </w:tc>
        <w:tc>
          <w:tcPr>
            <w:tcW w:type="dxa" w:w="1234"/>
          </w:tcPr>
          <w:p>
            <w:r>
              <w:rPr>
                <w:rFonts w:ascii="Calibri" w:hAnsi="Calibri"/>
                <w:sz w:val="22"/>
              </w:rPr>
              <w:t>$157.1M</w:t>
            </w:r>
          </w:p>
        </w:tc>
        <w:tc>
          <w:tcPr>
            <w:tcW w:type="dxa" w:w="1234"/>
          </w:tcPr>
          <w:p>
            <w:r>
              <w:rPr>
                <w:rFonts w:ascii="Calibri" w:hAnsi="Calibri"/>
                <w:sz w:val="22"/>
              </w:rPr>
              <w:t>$167.1M</w:t>
            </w:r>
          </w:p>
        </w:tc>
        <w:tc>
          <w:tcPr>
            <w:tcW w:type="dxa" w:w="1234"/>
          </w:tcPr>
          <w:p>
            <w:r>
              <w:rPr>
                <w:rFonts w:ascii="Calibri" w:hAnsi="Calibri"/>
                <w:sz w:val="22"/>
              </w:rPr>
              <w:t>+6.4%</w:t>
            </w:r>
          </w:p>
        </w:tc>
        <w:tc>
          <w:tcPr>
            <w:tcW w:type="dxa" w:w="1234"/>
          </w:tcPr>
          <w:p>
            <w:r>
              <w:rPr>
                <w:rFonts w:ascii="Calibri" w:hAnsi="Calibri"/>
                <w:sz w:val="22"/>
              </w:rPr>
              <w:t>~11% of net sales</w:t>
            </w:r>
          </w:p>
        </w:tc>
        <w:tc>
          <w:tcPr>
            <w:tcW w:type="dxa" w:w="1234"/>
          </w:tcPr>
          <w:p>
            <w:r>
              <w:rPr>
                <w:rFonts w:ascii="Calibri" w:hAnsi="Calibri"/>
                <w:sz w:val="22"/>
              </w:rPr>
              <w:t>In line with guide</w:t>
            </w:r>
          </w:p>
        </w:tc>
      </w:tr>
      <w:tr>
        <w:tc>
          <w:tcPr>
            <w:tcW w:type="dxa" w:w="1234"/>
          </w:tcPr>
          <w:p>
            <w:r>
              <w:rPr>
                <w:rFonts w:ascii="Calibri" w:hAnsi="Calibri"/>
                <w:sz w:val="22"/>
              </w:rPr>
              <w:t>SG&amp;A - Operating ($M)</w:t>
            </w:r>
          </w:p>
        </w:tc>
        <w:tc>
          <w:tcPr>
            <w:tcW w:type="dxa" w:w="1234"/>
          </w:tcPr>
          <w:p>
            <w:r>
              <w:rPr>
                <w:rFonts w:ascii="Calibri" w:hAnsi="Calibri"/>
                <w:sz w:val="22"/>
              </w:rPr>
              <w:t>$239.4M</w:t>
            </w:r>
          </w:p>
        </w:tc>
        <w:tc>
          <w:tcPr>
            <w:tcW w:type="dxa" w:w="1234"/>
          </w:tcPr>
          <w:p>
            <w:r>
              <w:rPr>
                <w:rFonts w:ascii="Calibri" w:hAnsi="Calibri"/>
                <w:sz w:val="22"/>
              </w:rPr>
              <w:t>$204.4M</w:t>
            </w:r>
          </w:p>
        </w:tc>
        <w:tc>
          <w:tcPr>
            <w:tcW w:type="dxa" w:w="1234"/>
          </w:tcPr>
          <w:p>
            <w:r>
              <w:rPr>
                <w:rFonts w:ascii="Calibri" w:hAnsi="Calibri"/>
                <w:sz w:val="22"/>
              </w:rPr>
              <w:t>$230.3M</w:t>
            </w:r>
          </w:p>
        </w:tc>
        <w:tc>
          <w:tcPr>
            <w:tcW w:type="dxa" w:w="1234"/>
          </w:tcPr>
          <w:p>
            <w:r>
              <w:rPr>
                <w:rFonts w:ascii="Calibri" w:hAnsi="Calibri"/>
                <w:sz w:val="22"/>
              </w:rPr>
              <w:t>+12.7%</w:t>
            </w:r>
          </w:p>
        </w:tc>
        <w:tc>
          <w:tcPr>
            <w:tcW w:type="dxa" w:w="1234"/>
          </w:tcPr>
          <w:p>
            <w:r>
              <w:rPr>
                <w:rFonts w:ascii="Calibri" w:hAnsi="Calibri"/>
                <w:sz w:val="22"/>
              </w:rPr>
              <w:t>Higher YoY (Touchland amort.)</w:t>
            </w:r>
          </w:p>
        </w:tc>
        <w:tc>
          <w:tcPr>
            <w:tcW w:type="dxa" w:w="1234"/>
          </w:tcPr>
          <w:p>
            <w:r>
              <w:rPr>
                <w:rFonts w:ascii="Calibri" w:hAnsi="Calibri"/>
                <w:sz w:val="22"/>
              </w:rPr>
              <w:t>In line with guide</w:t>
            </w:r>
          </w:p>
        </w:tc>
      </w:tr>
    </w:tbl>
    <w:p>
      <w:r>
        <w:rPr>
          <w:rFonts w:ascii="Calibri" w:hAnsi="Calibri"/>
          <w:i/>
          <w:color w:val="525866"/>
          <w:sz w:val="22"/>
        </w:rPr>
        <w:t>Sources: Visible Alpha Consensus and Actuals Data; CHD Q1 2026 Earnings Call Transcript (May 1, 2026). Net Sales, Organic Growth, EPS, Gross Profit, Volume, Price/Mix, Marketing, SG&amp;A actuals and consensus from Visible Alpha.</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Organic Sales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(pts)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4.7%</w:t>
            </w:r>
          </w:p>
        </w:tc>
        <w:tc>
          <w:tcPr>
            <w:tcW w:type="dxa" w:w="1728"/>
          </w:tcPr>
          <w:p>
            <w:r>
              <w:rPr>
                <w:rFonts w:ascii="Calibri" w:hAnsi="Calibri"/>
                <w:sz w:val="22"/>
              </w:rPr>
              <w:t>3.94%</w:t>
            </w:r>
          </w:p>
        </w:tc>
        <w:tc>
          <w:tcPr>
            <w:tcW w:type="dxa" w:w="1728"/>
          </w:tcPr>
          <w:p>
            <w:r>
              <w:rPr>
                <w:rFonts w:ascii="Calibri" w:hAnsi="Calibri"/>
                <w:b/>
                <w:color w:val="30A46C"/>
                <w:sz w:val="22"/>
              </w:rPr>
              <w:t>+0.76 pts</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4.3%</w:t>
            </w:r>
          </w:p>
        </w:tc>
        <w:tc>
          <w:tcPr>
            <w:tcW w:type="dxa" w:w="1728"/>
          </w:tcPr>
          <w:p>
            <w:r>
              <w:rPr>
                <w:rFonts w:ascii="Calibri" w:hAnsi="Calibri"/>
                <w:sz w:val="22"/>
              </w:rPr>
              <w:t>3.27%</w:t>
            </w:r>
          </w:p>
        </w:tc>
        <w:tc>
          <w:tcPr>
            <w:tcW w:type="dxa" w:w="1728"/>
          </w:tcPr>
          <w:p>
            <w:r>
              <w:rPr>
                <w:rFonts w:ascii="Calibri" w:hAnsi="Calibri"/>
                <w:b/>
                <w:color w:val="30A46C"/>
                <w:sz w:val="22"/>
              </w:rPr>
              <w:t>+1.03 pts</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4.2%</w:t>
            </w:r>
          </w:p>
        </w:tc>
        <w:tc>
          <w:tcPr>
            <w:tcW w:type="dxa" w:w="1728"/>
          </w:tcPr>
          <w:p>
            <w:r>
              <w:rPr>
                <w:rFonts w:ascii="Calibri" w:hAnsi="Calibri"/>
                <w:sz w:val="22"/>
              </w:rPr>
              <w:t>3.03%</w:t>
            </w:r>
          </w:p>
        </w:tc>
        <w:tc>
          <w:tcPr>
            <w:tcW w:type="dxa" w:w="1728"/>
          </w:tcPr>
          <w:p>
            <w:r>
              <w:rPr>
                <w:rFonts w:ascii="Calibri" w:hAnsi="Calibri"/>
                <w:b/>
                <w:color w:val="30A46C"/>
                <w:sz w:val="22"/>
              </w:rPr>
              <w:t>+1.17 pts</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−1.2%</w:t>
            </w:r>
          </w:p>
        </w:tc>
        <w:tc>
          <w:tcPr>
            <w:tcW w:type="dxa" w:w="1728"/>
          </w:tcPr>
          <w:p>
            <w:r>
              <w:rPr>
                <w:rFonts w:ascii="Calibri" w:hAnsi="Calibri"/>
                <w:sz w:val="22"/>
              </w:rPr>
              <w:t>+1.51%</w:t>
            </w:r>
          </w:p>
        </w:tc>
        <w:tc>
          <w:tcPr>
            <w:tcW w:type="dxa" w:w="1728"/>
          </w:tcPr>
          <w:p>
            <w:r>
              <w:rPr>
                <w:rFonts w:ascii="Calibri" w:hAnsi="Calibri"/>
                <w:b/>
                <w:color w:val="E5484D"/>
                <w:sz w:val="22"/>
              </w:rPr>
              <w:t>−2.71 pts</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0.1%</w:t>
            </w:r>
          </w:p>
        </w:tc>
        <w:tc>
          <w:tcPr>
            <w:tcW w:type="dxa" w:w="1728"/>
          </w:tcPr>
          <w:p>
            <w:r>
              <w:rPr>
                <w:rFonts w:ascii="Calibri" w:hAnsi="Calibri"/>
                <w:sz w:val="22"/>
              </w:rPr>
              <w:t>−0.67%</w:t>
            </w:r>
          </w:p>
        </w:tc>
        <w:tc>
          <w:tcPr>
            <w:tcW w:type="dxa" w:w="1728"/>
          </w:tcPr>
          <w:p>
            <w:r>
              <w:rPr>
                <w:rFonts w:ascii="Calibri" w:hAnsi="Calibri"/>
                <w:b/>
                <w:color w:val="30A46C"/>
                <w:sz w:val="22"/>
              </w:rPr>
              <w:t>+0.77 pts</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3.4%</w:t>
            </w:r>
          </w:p>
        </w:tc>
        <w:tc>
          <w:tcPr>
            <w:tcW w:type="dxa" w:w="1728"/>
          </w:tcPr>
          <w:p>
            <w:r>
              <w:rPr>
                <w:rFonts w:ascii="Calibri" w:hAnsi="Calibri"/>
                <w:sz w:val="22"/>
              </w:rPr>
              <w:t>1.55%</w:t>
            </w:r>
          </w:p>
        </w:tc>
        <w:tc>
          <w:tcPr>
            <w:tcW w:type="dxa" w:w="1728"/>
          </w:tcPr>
          <w:p>
            <w:r>
              <w:rPr>
                <w:rFonts w:ascii="Calibri" w:hAnsi="Calibri"/>
                <w:b/>
                <w:color w:val="30A46C"/>
                <w:sz w:val="22"/>
              </w:rPr>
              <w:t>+1.85 pts</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0.7%</w:t>
            </w:r>
          </w:p>
        </w:tc>
        <w:tc>
          <w:tcPr>
            <w:tcW w:type="dxa" w:w="1728"/>
          </w:tcPr>
          <w:p>
            <w:r>
              <w:rPr>
                <w:rFonts w:ascii="Calibri" w:hAnsi="Calibri"/>
                <w:sz w:val="22"/>
              </w:rPr>
              <w:t>1.73%</w:t>
            </w:r>
          </w:p>
        </w:tc>
        <w:tc>
          <w:tcPr>
            <w:tcW w:type="dxa" w:w="1728"/>
          </w:tcPr>
          <w:p>
            <w:r>
              <w:rPr>
                <w:rFonts w:ascii="Calibri" w:hAnsi="Calibri"/>
                <w:b/>
                <w:color w:val="E5484D"/>
                <w:sz w:val="22"/>
              </w:rPr>
              <w:t>−1.03 pts</w:t>
            </w:r>
          </w:p>
        </w:tc>
        <w:tc>
          <w:tcPr>
            <w:tcW w:type="dxa" w:w="1728"/>
          </w:tcPr>
          <w:p>
            <w:r>
              <w:rPr>
                <w:rFonts w:ascii="Calibri" w:hAnsi="Calibri"/>
                <w:sz w:val="22"/>
              </w:rPr>
              <w:t>Miss</w:t>
            </w:r>
          </w:p>
        </w:tc>
      </w:tr>
      <w:tr>
        <w:tc>
          <w:tcPr>
            <w:tcW w:type="dxa" w:w="1728"/>
          </w:tcPr>
          <w:p>
            <w:r>
              <w:rPr>
                <w:rFonts w:ascii="Calibri" w:hAnsi="Calibri"/>
                <w:sz w:val="22"/>
              </w:rPr>
              <w:t>Q1 2026</w:t>
            </w:r>
          </w:p>
        </w:tc>
        <w:tc>
          <w:tcPr>
            <w:tcW w:type="dxa" w:w="1728"/>
          </w:tcPr>
          <w:p>
            <w:r>
              <w:rPr>
                <w:rFonts w:ascii="Calibri" w:hAnsi="Calibri"/>
                <w:sz w:val="22"/>
              </w:rPr>
              <w:t>5.0%</w:t>
            </w:r>
          </w:p>
        </w:tc>
        <w:tc>
          <w:tcPr>
            <w:tcW w:type="dxa" w:w="1728"/>
          </w:tcPr>
          <w:p>
            <w:r>
              <w:rPr>
                <w:rFonts w:ascii="Calibri" w:hAnsi="Calibri"/>
                <w:sz w:val="22"/>
              </w:rPr>
              <w:t>3.37%</w:t>
            </w:r>
          </w:p>
        </w:tc>
        <w:tc>
          <w:tcPr>
            <w:tcW w:type="dxa" w:w="1728"/>
          </w:tcPr>
          <w:p>
            <w:r>
              <w:rPr>
                <w:rFonts w:ascii="Calibri" w:hAnsi="Calibri"/>
                <w:b/>
                <w:color w:val="30A46C"/>
                <w:sz w:val="22"/>
              </w:rPr>
              <w:t>+1.63 pts</w:t>
            </w:r>
          </w:p>
        </w:tc>
        <w:tc>
          <w:tcPr>
            <w:tcW w:type="dxa" w:w="1728"/>
          </w:tcPr>
          <w:p>
            <w:r>
              <w:rPr>
                <w:rFonts w:ascii="Calibri" w:hAnsi="Calibri"/>
                <w:sz w:val="22"/>
              </w:rPr>
              <w:t>Beat</w:t>
            </w:r>
          </w:p>
        </w:tc>
      </w:tr>
    </w:tbl>
    <w:p>
      <w:pPr>
        <w:pStyle w:val="Heading4"/>
      </w:pPr>
      <w:r>
        <w:rPr>
          <w:rFonts w:ascii="Calibri" w:hAnsi="Calibri"/>
          <w:b/>
          <w:color w:val="3B4259"/>
          <w:sz w:val="22"/>
        </w:rPr>
        <w:t>Adjusted EPS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$0.93</w:t>
            </w:r>
          </w:p>
        </w:tc>
        <w:tc>
          <w:tcPr>
            <w:tcW w:type="dxa" w:w="1728"/>
          </w:tcPr>
          <w:p>
            <w:r>
              <w:rPr>
                <w:rFonts w:ascii="Calibri" w:hAnsi="Calibri"/>
                <w:sz w:val="22"/>
              </w:rPr>
              <w:t>$0.842</w:t>
            </w:r>
          </w:p>
        </w:tc>
        <w:tc>
          <w:tcPr>
            <w:tcW w:type="dxa" w:w="1728"/>
          </w:tcPr>
          <w:p>
            <w:r>
              <w:rPr>
                <w:rFonts w:ascii="Calibri" w:hAnsi="Calibri"/>
                <w:b/>
                <w:color w:val="30A46C"/>
                <w:sz w:val="22"/>
              </w:rPr>
              <w:t>+10.5%</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$0.79</w:t>
            </w:r>
          </w:p>
        </w:tc>
        <w:tc>
          <w:tcPr>
            <w:tcW w:type="dxa" w:w="1728"/>
          </w:tcPr>
          <w:p>
            <w:r>
              <w:rPr>
                <w:rFonts w:ascii="Calibri" w:hAnsi="Calibri"/>
                <w:sz w:val="22"/>
              </w:rPr>
              <w:t>$0.680</w:t>
            </w:r>
          </w:p>
        </w:tc>
        <w:tc>
          <w:tcPr>
            <w:tcW w:type="dxa" w:w="1728"/>
          </w:tcPr>
          <w:p>
            <w:r>
              <w:rPr>
                <w:rFonts w:ascii="Calibri" w:hAnsi="Calibri"/>
                <w:b/>
                <w:color w:val="30A46C"/>
                <w:sz w:val="22"/>
              </w:rPr>
              <w:t>+16.2%</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$0.77</w:t>
            </w:r>
          </w:p>
        </w:tc>
        <w:tc>
          <w:tcPr>
            <w:tcW w:type="dxa" w:w="1728"/>
          </w:tcPr>
          <w:p>
            <w:r>
              <w:rPr>
                <w:rFonts w:ascii="Calibri" w:hAnsi="Calibri"/>
                <w:sz w:val="22"/>
              </w:rPr>
              <w:t>$0.766</w:t>
            </w:r>
          </w:p>
        </w:tc>
        <w:tc>
          <w:tcPr>
            <w:tcW w:type="dxa" w:w="1728"/>
          </w:tcPr>
          <w:p>
            <w:r>
              <w:rPr>
                <w:rFonts w:ascii="Calibri" w:hAnsi="Calibri"/>
                <w:b/>
                <w:color w:val="30A46C"/>
                <w:sz w:val="22"/>
              </w:rPr>
              <w:t>+0.5%</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$0.91</w:t>
            </w:r>
          </w:p>
        </w:tc>
        <w:tc>
          <w:tcPr>
            <w:tcW w:type="dxa" w:w="1728"/>
          </w:tcPr>
          <w:p>
            <w:r>
              <w:rPr>
                <w:rFonts w:ascii="Calibri" w:hAnsi="Calibri"/>
                <w:sz w:val="22"/>
              </w:rPr>
              <w:t>$0.898</w:t>
            </w:r>
          </w:p>
        </w:tc>
        <w:tc>
          <w:tcPr>
            <w:tcW w:type="dxa" w:w="1728"/>
          </w:tcPr>
          <w:p>
            <w:r>
              <w:rPr>
                <w:rFonts w:ascii="Calibri" w:hAnsi="Calibri"/>
                <w:b/>
                <w:color w:val="30A46C"/>
                <w:sz w:val="22"/>
              </w:rPr>
              <w:t>+1.3%</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$0.94</w:t>
            </w:r>
          </w:p>
        </w:tc>
        <w:tc>
          <w:tcPr>
            <w:tcW w:type="dxa" w:w="1728"/>
          </w:tcPr>
          <w:p>
            <w:r>
              <w:rPr>
                <w:rFonts w:ascii="Calibri" w:hAnsi="Calibri"/>
                <w:sz w:val="22"/>
              </w:rPr>
              <w:t>$0.855</w:t>
            </w:r>
          </w:p>
        </w:tc>
        <w:tc>
          <w:tcPr>
            <w:tcW w:type="dxa" w:w="1728"/>
          </w:tcPr>
          <w:p>
            <w:r>
              <w:rPr>
                <w:rFonts w:ascii="Calibri" w:hAnsi="Calibri"/>
                <w:b/>
                <w:color w:val="30A46C"/>
                <w:sz w:val="22"/>
              </w:rPr>
              <w:t>+9.9%</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$0.81</w:t>
            </w:r>
          </w:p>
        </w:tc>
        <w:tc>
          <w:tcPr>
            <w:tcW w:type="dxa" w:w="1728"/>
          </w:tcPr>
          <w:p>
            <w:r>
              <w:rPr>
                <w:rFonts w:ascii="Calibri" w:hAnsi="Calibri"/>
                <w:sz w:val="22"/>
              </w:rPr>
              <w:t>$0.735</w:t>
            </w:r>
          </w:p>
        </w:tc>
        <w:tc>
          <w:tcPr>
            <w:tcW w:type="dxa" w:w="1728"/>
          </w:tcPr>
          <w:p>
            <w:r>
              <w:rPr>
                <w:rFonts w:ascii="Calibri" w:hAnsi="Calibri"/>
                <w:b/>
                <w:color w:val="30A46C"/>
                <w:sz w:val="22"/>
              </w:rPr>
              <w:t>+10.2%</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$0.86</w:t>
            </w:r>
          </w:p>
        </w:tc>
        <w:tc>
          <w:tcPr>
            <w:tcW w:type="dxa" w:w="1728"/>
          </w:tcPr>
          <w:p>
            <w:r>
              <w:rPr>
                <w:rFonts w:ascii="Calibri" w:hAnsi="Calibri"/>
                <w:sz w:val="22"/>
              </w:rPr>
              <w:t>$0.833</w:t>
            </w:r>
          </w:p>
        </w:tc>
        <w:tc>
          <w:tcPr>
            <w:tcW w:type="dxa" w:w="1728"/>
          </w:tcPr>
          <w:p>
            <w:r>
              <w:rPr>
                <w:rFonts w:ascii="Calibri" w:hAnsi="Calibri"/>
                <w:b/>
                <w:color w:val="30A46C"/>
                <w:sz w:val="22"/>
              </w:rPr>
              <w:t>+3.2%</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$0.95</w:t>
            </w:r>
          </w:p>
        </w:tc>
        <w:tc>
          <w:tcPr>
            <w:tcW w:type="dxa" w:w="1728"/>
          </w:tcPr>
          <w:p>
            <w:r>
              <w:rPr>
                <w:rFonts w:ascii="Calibri" w:hAnsi="Calibri"/>
                <w:sz w:val="22"/>
              </w:rPr>
              <w:t>$0.930</w:t>
            </w:r>
          </w:p>
        </w:tc>
        <w:tc>
          <w:tcPr>
            <w:tcW w:type="dxa" w:w="1728"/>
          </w:tcPr>
          <w:p>
            <w:r>
              <w:rPr>
                <w:rFonts w:ascii="Calibri" w:hAnsi="Calibri"/>
                <w:b/>
                <w:color w:val="30A46C"/>
                <w:sz w:val="22"/>
              </w:rPr>
              <w:t>+2.2%</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CHD has beaten adjusted EPS consensus in all 8 of the last 8 quarters, with an average beat of ~6.8%; organic sales growth has beaten in 6 of 8 quarters, with the two misses concentrated in the portfolio-disrupted Q1 2025 and Q4 2025 periods. The consistent EPS beat history sets a high bar for the Street to be surprised, but the Q2 2026 guide was set deliberately low, creating a modest cushion.</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Q1 2026 earnings call on May 1, 2026 — no post-earnings 8-K, conference update, or pre-announcement has altered the Q2 or full-year outlook. Management tone remains constructive on volume and share gains but deliberately cautious on near-term EPS given elevated marketing and Touchland-related SG&amp;A.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Organic Sales Growth</w:t>
            </w:r>
          </w:p>
        </w:tc>
        <w:tc>
          <w:tcPr>
            <w:tcW w:type="dxa" w:w="1728"/>
          </w:tcPr>
          <w:p>
            <w:r>
              <w:rPr>
                <w:rFonts w:ascii="Calibri" w:hAnsi="Calibri"/>
                <w:sz w:val="22"/>
              </w:rPr>
              <w:t>~3%</w:t>
            </w:r>
          </w:p>
        </w:tc>
        <w:tc>
          <w:tcPr>
            <w:tcW w:type="dxa" w:w="1728"/>
          </w:tcPr>
          <w:p>
            <w:r>
              <w:rPr>
                <w:rFonts w:ascii="Calibri" w:hAnsi="Calibri"/>
                <w:sz w:val="22"/>
              </w:rPr>
              <w:t>—</w:t>
            </w:r>
          </w:p>
        </w:tc>
        <w:tc>
          <w:tcPr>
            <w:tcW w:type="dxa" w:w="1728"/>
          </w:tcPr>
          <w:p>
            <w:r>
              <w:rPr>
                <w:rFonts w:ascii="Calibri" w:hAnsi="Calibri"/>
                <w:sz w:val="22"/>
              </w:rPr>
              <w:t>~3.25%</w:t>
            </w:r>
          </w:p>
        </w:tc>
        <w:tc>
          <w:tcPr>
            <w:tcW w:type="dxa" w:w="1728"/>
          </w:tcPr>
          <w:p>
            <w:r>
              <w:rPr>
                <w:rFonts w:ascii="Calibri" w:hAnsi="Calibri"/>
                <w:sz w:val="22"/>
              </w:rPr>
              <w:t>Unchanged; consensus sits ~25 bps above guide midpoint</w:t>
            </w:r>
          </w:p>
        </w:tc>
      </w:tr>
      <w:tr>
        <w:tc>
          <w:tcPr>
            <w:tcW w:type="dxa" w:w="1728"/>
          </w:tcPr>
          <w:p>
            <w:r>
              <w:rPr>
                <w:rFonts w:ascii="Calibri" w:hAnsi="Calibri"/>
                <w:sz w:val="22"/>
              </w:rPr>
              <w:t>Q2 2026 Reported Sales Growth</w:t>
            </w:r>
          </w:p>
        </w:tc>
        <w:tc>
          <w:tcPr>
            <w:tcW w:type="dxa" w:w="1728"/>
          </w:tcPr>
          <w:p>
            <w:r>
              <w:rPr>
                <w:rFonts w:ascii="Calibri" w:hAnsi="Calibri"/>
                <w:sz w:val="22"/>
              </w:rPr>
              <w:t>~−1% YoY</w:t>
            </w:r>
          </w:p>
        </w:tc>
        <w:tc>
          <w:tcPr>
            <w:tcW w:type="dxa" w:w="1728"/>
          </w:tcPr>
          <w:p>
            <w:r>
              <w:rPr>
                <w:rFonts w:ascii="Calibri" w:hAnsi="Calibri"/>
                <w:sz w:val="22"/>
              </w:rPr>
              <w:t>—</w:t>
            </w:r>
          </w:p>
        </w:tc>
        <w:tc>
          <w:tcPr>
            <w:tcW w:type="dxa" w:w="1728"/>
          </w:tcPr>
          <w:p>
            <w:r>
              <w:rPr>
                <w:rFonts w:ascii="Calibri" w:hAnsi="Calibri"/>
                <w:sz w:val="22"/>
              </w:rPr>
              <w:t>~−0.2% YoY</w:t>
            </w:r>
          </w:p>
        </w:tc>
        <w:tc>
          <w:tcPr>
            <w:tcW w:type="dxa" w:w="1728"/>
          </w:tcPr>
          <w:p>
            <w:r>
              <w:rPr>
                <w:rFonts w:ascii="Calibri" w:hAnsi="Calibri"/>
                <w:sz w:val="22"/>
              </w:rPr>
              <w:t>Unchanged; portfolio exit drag from VMS divestiture</w:t>
            </w:r>
          </w:p>
        </w:tc>
      </w:tr>
      <w:tr>
        <w:tc>
          <w:tcPr>
            <w:tcW w:type="dxa" w:w="1728"/>
          </w:tcPr>
          <w:p>
            <w:r>
              <w:rPr>
                <w:rFonts w:ascii="Calibri" w:hAnsi="Calibri"/>
                <w:sz w:val="22"/>
              </w:rPr>
              <w:t>Q2 2026 Gross Margin Expansion</w:t>
            </w:r>
          </w:p>
        </w:tc>
        <w:tc>
          <w:tcPr>
            <w:tcW w:type="dxa" w:w="1728"/>
          </w:tcPr>
          <w:p>
            <w:r>
              <w:rPr>
                <w:rFonts w:ascii="Calibri" w:hAnsi="Calibri"/>
                <w:sz w:val="22"/>
              </w:rPr>
              <w:t>~+50 bps YoY</w:t>
            </w:r>
          </w:p>
        </w:tc>
        <w:tc>
          <w:tcPr>
            <w:tcW w:type="dxa" w:w="1728"/>
          </w:tcPr>
          <w:p>
            <w:r>
              <w:rPr>
                <w:rFonts w:ascii="Calibri" w:hAnsi="Calibri"/>
                <w:sz w:val="22"/>
              </w:rPr>
              <w:t>—</w:t>
            </w:r>
          </w:p>
        </w:tc>
        <w:tc>
          <w:tcPr>
            <w:tcW w:type="dxa" w:w="1728"/>
          </w:tcPr>
          <w:p>
            <w:r>
              <w:rPr>
                <w:rFonts w:ascii="Calibri" w:hAnsi="Calibri"/>
                <w:sz w:val="22"/>
              </w:rPr>
              <w:t>In line with guide</w:t>
            </w:r>
          </w:p>
        </w:tc>
        <w:tc>
          <w:tcPr>
            <w:tcW w:type="dxa" w:w="1728"/>
          </w:tcPr>
          <w:p>
            <w:r>
              <w:rPr>
                <w:rFonts w:ascii="Calibri" w:hAnsi="Calibri"/>
                <w:sz w:val="22"/>
              </w:rPr>
              <w:t>Transportation cost pressure ahead of H2 mitigation; unchanged</w:t>
            </w:r>
          </w:p>
        </w:tc>
      </w:tr>
      <w:tr>
        <w:tc>
          <w:tcPr>
            <w:tcW w:type="dxa" w:w="1728"/>
          </w:tcPr>
          <w:p>
            <w:r>
              <w:rPr>
                <w:rFonts w:ascii="Calibri" w:hAnsi="Calibri"/>
                <w:sz w:val="22"/>
              </w:rPr>
              <w:t>Q2 2026 Adjusted EPS</w:t>
            </w:r>
          </w:p>
        </w:tc>
        <w:tc>
          <w:tcPr>
            <w:tcW w:type="dxa" w:w="1728"/>
          </w:tcPr>
          <w:p>
            <w:r>
              <w:rPr>
                <w:rFonts w:ascii="Calibri" w:hAnsi="Calibri"/>
                <w:sz w:val="22"/>
              </w:rPr>
              <w:t>$0.88</w:t>
            </w:r>
          </w:p>
        </w:tc>
        <w:tc>
          <w:tcPr>
            <w:tcW w:type="dxa" w:w="1728"/>
          </w:tcPr>
          <w:p>
            <w:r>
              <w:rPr>
                <w:rFonts w:ascii="Calibri" w:hAnsi="Calibri"/>
                <w:sz w:val="22"/>
              </w:rPr>
              <w:t>—</w:t>
            </w:r>
          </w:p>
        </w:tc>
        <w:tc>
          <w:tcPr>
            <w:tcW w:type="dxa" w:w="1728"/>
          </w:tcPr>
          <w:p>
            <w:r>
              <w:rPr>
                <w:rFonts w:ascii="Calibri" w:hAnsi="Calibri"/>
                <w:sz w:val="22"/>
              </w:rPr>
              <w:t>$0.894</w:t>
            </w:r>
          </w:p>
        </w:tc>
        <w:tc>
          <w:tcPr>
            <w:tcW w:type="dxa" w:w="1728"/>
          </w:tcPr>
          <w:p>
            <w:r>
              <w:rPr>
                <w:rFonts w:ascii="Calibri" w:hAnsi="Calibri"/>
                <w:sz w:val="22"/>
              </w:rPr>
              <w:t>Unchanged; marketing + SG&amp;A more than offsets GM expansion; consensus ~1.6% above guide</w:t>
            </w:r>
          </w:p>
        </w:tc>
      </w:tr>
      <w:tr>
        <w:tc>
          <w:tcPr>
            <w:tcW w:type="dxa" w:w="1728"/>
          </w:tcPr>
          <w:p>
            <w:r>
              <w:rPr>
                <w:rFonts w:ascii="Calibri" w:hAnsi="Calibri"/>
                <w:sz w:val="22"/>
              </w:rPr>
              <w:t>FY 2026 Organic Sales Growth</w:t>
            </w:r>
          </w:p>
        </w:tc>
        <w:tc>
          <w:tcPr>
            <w:tcW w:type="dxa" w:w="1728"/>
          </w:tcPr>
          <w:p>
            <w:r>
              <w:rPr>
                <w:rFonts w:ascii="Calibri" w:hAnsi="Calibri"/>
                <w:sz w:val="22"/>
              </w:rPr>
              <w:t>3%–4%</w:t>
            </w:r>
          </w:p>
        </w:tc>
        <w:tc>
          <w:tcPr>
            <w:tcW w:type="dxa" w:w="1728"/>
          </w:tcPr>
          <w:p>
            <w:r>
              <w:rPr>
                <w:rFonts w:ascii="Calibri" w:hAnsi="Calibri"/>
                <w:sz w:val="22"/>
              </w:rPr>
              <w:t>—</w:t>
            </w:r>
          </w:p>
        </w:tc>
        <w:tc>
          <w:tcPr>
            <w:tcW w:type="dxa" w:w="1728"/>
          </w:tcPr>
          <w:p>
            <w:r>
              <w:rPr>
                <w:rFonts w:ascii="Calibri" w:hAnsi="Calibri"/>
                <w:sz w:val="22"/>
              </w:rPr>
              <w:t>~3.77%</w:t>
            </w:r>
          </w:p>
        </w:tc>
        <w:tc>
          <w:tcPr>
            <w:tcW w:type="dxa" w:w="1728"/>
          </w:tcPr>
          <w:p>
            <w:r>
              <w:rPr>
                <w:rFonts w:ascii="Calibri" w:hAnsi="Calibri"/>
                <w:sz w:val="22"/>
              </w:rPr>
              <w:t>Reiterated; consensus near midpoint of range</w:t>
            </w:r>
          </w:p>
        </w:tc>
      </w:tr>
      <w:tr>
        <w:tc>
          <w:tcPr>
            <w:tcW w:type="dxa" w:w="1728"/>
          </w:tcPr>
          <w:p>
            <w:r>
              <w:rPr>
                <w:rFonts w:ascii="Calibri" w:hAnsi="Calibri"/>
                <w:sz w:val="22"/>
              </w:rPr>
              <w:t>FY 2026 Reported Sales Growth</w:t>
            </w:r>
          </w:p>
        </w:tc>
        <w:tc>
          <w:tcPr>
            <w:tcW w:type="dxa" w:w="1728"/>
          </w:tcPr>
          <w:p>
            <w:r>
              <w:rPr>
                <w:rFonts w:ascii="Calibri" w:hAnsi="Calibri"/>
                <w:sz w:val="22"/>
              </w:rPr>
              <w:t>−1.5% to −0.5%</w:t>
            </w:r>
          </w:p>
        </w:tc>
        <w:tc>
          <w:tcPr>
            <w:tcW w:type="dxa" w:w="1728"/>
          </w:tcPr>
          <w:p>
            <w:r>
              <w:rPr>
                <w:rFonts w:ascii="Calibri" w:hAnsi="Calibri"/>
                <w:sz w:val="22"/>
              </w:rPr>
              <w:t>—</w:t>
            </w:r>
          </w:p>
        </w:tc>
        <w:tc>
          <w:tcPr>
            <w:tcW w:type="dxa" w:w="1728"/>
          </w:tcPr>
          <w:p>
            <w:r>
              <w:rPr>
                <w:rFonts w:ascii="Calibri" w:hAnsi="Calibri"/>
                <w:sz w:val="22"/>
              </w:rPr>
              <w:t>N/A (reported basis)</w:t>
            </w:r>
          </w:p>
        </w:tc>
        <w:tc>
          <w:tcPr>
            <w:tcW w:type="dxa" w:w="1728"/>
          </w:tcPr>
          <w:p>
            <w:r>
              <w:rPr>
                <w:rFonts w:ascii="Calibri" w:hAnsi="Calibri"/>
                <w:sz w:val="22"/>
              </w:rPr>
              <w:t>Reiterated; portfolio exit drag from 2025 strategic actions</w:t>
            </w:r>
          </w:p>
        </w:tc>
      </w:tr>
      <w:tr>
        <w:tc>
          <w:tcPr>
            <w:tcW w:type="dxa" w:w="1728"/>
          </w:tcPr>
          <w:p>
            <w:r>
              <w:rPr>
                <w:rFonts w:ascii="Calibri" w:hAnsi="Calibri"/>
                <w:sz w:val="22"/>
              </w:rPr>
              <w:t>FY 2026 Gross Margin Expansion</w:t>
            </w:r>
          </w:p>
        </w:tc>
        <w:tc>
          <w:tcPr>
            <w:tcW w:type="dxa" w:w="1728"/>
          </w:tcPr>
          <w:p>
            <w:r>
              <w:rPr>
                <w:rFonts w:ascii="Calibri" w:hAnsi="Calibri"/>
                <w:sz w:val="22"/>
              </w:rPr>
              <w:t>~+100 bps YoY</w:t>
            </w:r>
          </w:p>
        </w:tc>
        <w:tc>
          <w:tcPr>
            <w:tcW w:type="dxa" w:w="1728"/>
          </w:tcPr>
          <w:p>
            <w:r>
              <w:rPr>
                <w:rFonts w:ascii="Calibri" w:hAnsi="Calibri"/>
                <w:sz w:val="22"/>
              </w:rPr>
              <w:t>—</w:t>
            </w:r>
          </w:p>
        </w:tc>
        <w:tc>
          <w:tcPr>
            <w:tcW w:type="dxa" w:w="1728"/>
          </w:tcPr>
          <w:p>
            <w:r>
              <w:rPr>
                <w:rFonts w:ascii="Calibri" w:hAnsi="Calibri"/>
                <w:sz w:val="22"/>
              </w:rPr>
              <w:t>In line with guide</w:t>
            </w:r>
          </w:p>
        </w:tc>
        <w:tc>
          <w:tcPr>
            <w:tcW w:type="dxa" w:w="1728"/>
          </w:tcPr>
          <w:p>
            <w:r>
              <w:rPr>
                <w:rFonts w:ascii="Calibri" w:hAnsi="Calibri"/>
                <w:sz w:val="22"/>
              </w:rPr>
              <w:t>Reiterated despite $25–30M Middle East inflation headwind; productivity offset</w:t>
            </w:r>
          </w:p>
        </w:tc>
      </w:tr>
      <w:tr>
        <w:tc>
          <w:tcPr>
            <w:tcW w:type="dxa" w:w="1728"/>
          </w:tcPr>
          <w:p>
            <w:r>
              <w:rPr>
                <w:rFonts w:ascii="Calibri" w:hAnsi="Calibri"/>
                <w:sz w:val="22"/>
              </w:rPr>
              <w:t>FY 2026 Adjusted EPS Growth</w:t>
            </w:r>
          </w:p>
        </w:tc>
        <w:tc>
          <w:tcPr>
            <w:tcW w:type="dxa" w:w="1728"/>
          </w:tcPr>
          <w:p>
            <w:r>
              <w:rPr>
                <w:rFonts w:ascii="Calibri" w:hAnsi="Calibri"/>
                <w:sz w:val="22"/>
              </w:rPr>
              <w:t>+5% to +8%</w:t>
            </w:r>
          </w:p>
        </w:tc>
        <w:tc>
          <w:tcPr>
            <w:tcW w:type="dxa" w:w="1728"/>
          </w:tcPr>
          <w:p>
            <w:r>
              <w:rPr>
                <w:rFonts w:ascii="Calibri" w:hAnsi="Calibri"/>
                <w:sz w:val="22"/>
              </w:rPr>
              <w:t>—</w:t>
            </w:r>
          </w:p>
        </w:tc>
        <w:tc>
          <w:tcPr>
            <w:tcW w:type="dxa" w:w="1728"/>
          </w:tcPr>
          <w:p>
            <w:r>
              <w:rPr>
                <w:rFonts w:ascii="Calibri" w:hAnsi="Calibri"/>
                <w:sz w:val="22"/>
              </w:rPr>
              <w:t>~+5.5% (implied by $3.75 cons.)</w:t>
            </w:r>
          </w:p>
        </w:tc>
        <w:tc>
          <w:tcPr>
            <w:tcW w:type="dxa" w:w="1728"/>
          </w:tcPr>
          <w:p>
            <w:r>
              <w:rPr>
                <w:rFonts w:ascii="Calibri" w:hAnsi="Calibri"/>
                <w:sz w:val="22"/>
              </w:rPr>
              <w:t>Reiterated; consensus near low end of range; H2 back-half weighted</w:t>
            </w:r>
          </w:p>
        </w:tc>
      </w:tr>
      <w:tr>
        <w:tc>
          <w:tcPr>
            <w:tcW w:type="dxa" w:w="1728"/>
          </w:tcPr>
          <w:p>
            <w:r>
              <w:rPr>
                <w:rFonts w:ascii="Calibri" w:hAnsi="Calibri"/>
                <w:sz w:val="22"/>
              </w:rPr>
              <w:t>FY 2026 Marketing % of Sales</w:t>
            </w:r>
          </w:p>
        </w:tc>
        <w:tc>
          <w:tcPr>
            <w:tcW w:type="dxa" w:w="1728"/>
          </w:tcPr>
          <w:p>
            <w:r>
              <w:rPr>
                <w:rFonts w:ascii="Calibri" w:hAnsi="Calibri"/>
                <w:sz w:val="22"/>
              </w:rPr>
              <w:t>~11%</w:t>
            </w:r>
          </w:p>
        </w:tc>
        <w:tc>
          <w:tcPr>
            <w:tcW w:type="dxa" w:w="1728"/>
          </w:tcPr>
          <w:p>
            <w:r>
              <w:rPr>
                <w:rFonts w:ascii="Calibri" w:hAnsi="Calibri"/>
                <w:sz w:val="22"/>
              </w:rPr>
              <w:t>—</w:t>
            </w:r>
          </w:p>
        </w:tc>
        <w:tc>
          <w:tcPr>
            <w:tcW w:type="dxa" w:w="1728"/>
          </w:tcPr>
          <w:p>
            <w:r>
              <w:rPr>
                <w:rFonts w:ascii="Calibri" w:hAnsi="Calibri"/>
                <w:sz w:val="22"/>
              </w:rPr>
              <w:t>In line with guide</w:t>
            </w:r>
          </w:p>
        </w:tc>
        <w:tc>
          <w:tcPr>
            <w:tcW w:type="dxa" w:w="1728"/>
          </w:tcPr>
          <w:p>
            <w:r>
              <w:rPr>
                <w:rFonts w:ascii="Calibri" w:hAnsi="Calibri"/>
                <w:sz w:val="22"/>
              </w:rPr>
              <w:t>Unchanged; consistent with Evergreen model</w:t>
            </w:r>
          </w:p>
        </w:tc>
      </w:tr>
      <w:tr>
        <w:tc>
          <w:tcPr>
            <w:tcW w:type="dxa" w:w="1728"/>
          </w:tcPr>
          <w:p>
            <w:r>
              <w:rPr>
                <w:rFonts w:ascii="Calibri" w:hAnsi="Calibri"/>
                <w:sz w:val="22"/>
              </w:rPr>
              <w:t>FY 2026 CapEx</w:t>
            </w:r>
          </w:p>
        </w:tc>
        <w:tc>
          <w:tcPr>
            <w:tcW w:type="dxa" w:w="1728"/>
          </w:tcPr>
          <w:p>
            <w:r>
              <w:rPr>
                <w:rFonts w:ascii="Calibri" w:hAnsi="Calibri"/>
                <w:sz w:val="22"/>
              </w:rPr>
              <w:t>~2% of sales</w:t>
            </w:r>
          </w:p>
        </w:tc>
        <w:tc>
          <w:tcPr>
            <w:tcW w:type="dxa" w:w="1728"/>
          </w:tcPr>
          <w:p>
            <w:r>
              <w:rPr>
                <w:rFonts w:ascii="Calibri" w:hAnsi="Calibri"/>
                <w:sz w:val="22"/>
              </w:rPr>
              <w:t>—</w:t>
            </w:r>
          </w:p>
        </w:tc>
        <w:tc>
          <w:tcPr>
            <w:tcW w:type="dxa" w:w="1728"/>
          </w:tcPr>
          <w:p>
            <w:r>
              <w:rPr>
                <w:rFonts w:ascii="Calibri" w:hAnsi="Calibri"/>
                <w:sz w:val="22"/>
              </w:rPr>
              <w:t>In line with guide</w:t>
            </w:r>
          </w:p>
        </w:tc>
        <w:tc>
          <w:tcPr>
            <w:tcW w:type="dxa" w:w="1728"/>
          </w:tcPr>
          <w:p>
            <w:r>
              <w:rPr>
                <w:rFonts w:ascii="Calibri" w:hAnsi="Calibri"/>
                <w:sz w:val="22"/>
              </w:rPr>
              <w:t>Unchanged</w:t>
            </w:r>
          </w:p>
        </w:tc>
      </w:tr>
    </w:tbl>
    <w:p>
      <w:r>
        <w:rPr>
          <w:rFonts w:ascii="Calibri" w:hAnsi="Calibri"/>
          <w:i/>
          <w:color w:val="525866"/>
          <w:sz w:val="22"/>
        </w:rPr>
        <w:t>Source: CHD Q1 2026 Earnings Call Transcript (May 1,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largely stable since the Q1 2026 print, tracking closely to management's guidance reset. The ~$0.006 upward drift in Q2 EPS consensus (from $0.894 at the post-print baseline to $0.894 currently) and the modest +6 bps drift in Q2 organic growth consensus suggest the Street has not materially revised away from the guidance anchor — a low-risk setup with limited estimate-revision overhang in either direction.</w:t>
      </w:r>
    </w:p>
    <w:p>
      <w:pPr>
        <w:pStyle w:val="Heading3"/>
      </w:pPr>
      <w:r>
        <w:rPr>
          <w:rFonts w:ascii="Calibri" w:hAnsi="Calibri"/>
          <w:b/>
          <w:color w:val="3B4259"/>
          <w:sz w:val="24"/>
        </w:rPr>
        <w:t>Table — Estimate Revision Tracker (Q2 2026 &amp; FY 2026)</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5/7/26)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Organic Sales Growth — Q2 2026</w:t>
            </w:r>
          </w:p>
        </w:tc>
        <w:tc>
          <w:tcPr>
            <w:tcW w:type="dxa" w:w="1080"/>
          </w:tcPr>
          <w:p>
            <w:r>
              <w:rPr>
                <w:rFonts w:ascii="Calibri" w:hAnsi="Calibri"/>
                <w:sz w:val="22"/>
              </w:rPr>
              <w:t>3.20%</w:t>
            </w:r>
          </w:p>
        </w:tc>
        <w:tc>
          <w:tcPr>
            <w:tcW w:type="dxa" w:w="1080"/>
          </w:tcPr>
          <w:p>
            <w:r>
              <w:rPr>
                <w:rFonts w:ascii="Calibri" w:hAnsi="Calibri"/>
                <w:sz w:val="22"/>
              </w:rPr>
              <w:t>3.25%</w:t>
            </w:r>
          </w:p>
        </w:tc>
        <w:tc>
          <w:tcPr>
            <w:tcW w:type="dxa" w:w="1080"/>
          </w:tcPr>
          <w:p>
            <w:r>
              <w:rPr>
                <w:rFonts w:ascii="Calibri" w:hAnsi="Calibri"/>
                <w:sz w:val="22"/>
              </w:rPr>
              <w:t>+6 bps</w:t>
            </w:r>
          </w:p>
        </w:tc>
        <w:tc>
          <w:tcPr>
            <w:tcW w:type="dxa" w:w="1080"/>
          </w:tcPr>
          <w:p>
            <w:r>
              <w:rPr>
                <w:rFonts w:ascii="Calibri" w:hAnsi="Calibri"/>
                <w:sz w:val="22"/>
              </w:rPr>
              <w:t>~3%</w:t>
            </w:r>
          </w:p>
        </w:tc>
        <w:tc>
          <w:tcPr>
            <w:tcW w:type="dxa" w:w="1080"/>
          </w:tcPr>
          <w:p>
            <w:r>
              <w:rPr>
                <w:rFonts w:ascii="Calibri" w:hAnsi="Calibri"/>
                <w:sz w:val="22"/>
              </w:rPr>
              <w:t>~3% (unchanged)</w:t>
            </w:r>
          </w:p>
        </w:tc>
        <w:tc>
          <w:tcPr>
            <w:tcW w:type="dxa" w:w="1080"/>
          </w:tcPr>
          <w:p>
            <w:r>
              <w:rPr>
                <w:rFonts w:ascii="Calibri" w:hAnsi="Calibri"/>
                <w:sz w:val="22"/>
              </w:rPr>
              <w:t>None</w:t>
            </w:r>
          </w:p>
        </w:tc>
        <w:tc>
          <w:tcPr>
            <w:tcW w:type="dxa" w:w="1080"/>
          </w:tcPr>
          <w:p>
            <w:r>
              <w:rPr>
                <w:rFonts w:ascii="Calibri" w:hAnsi="Calibri"/>
                <w:sz w:val="22"/>
              </w:rPr>
              <w:t>+~25 bps above guide</w:t>
            </w:r>
          </w:p>
        </w:tc>
      </w:tr>
      <w:tr>
        <w:tc>
          <w:tcPr>
            <w:tcW w:type="dxa" w:w="1080"/>
          </w:tcPr>
          <w:p>
            <w:r>
              <w:rPr>
                <w:rFonts w:ascii="Calibri" w:hAnsi="Calibri"/>
                <w:sz w:val="22"/>
              </w:rPr>
              <w:t>Adjusted EPS — Q2 2026</w:t>
            </w:r>
          </w:p>
        </w:tc>
        <w:tc>
          <w:tcPr>
            <w:tcW w:type="dxa" w:w="1080"/>
          </w:tcPr>
          <w:p>
            <w:r>
              <w:rPr>
                <w:rFonts w:ascii="Calibri" w:hAnsi="Calibri"/>
                <w:sz w:val="22"/>
              </w:rPr>
              <w:t>$0.894</w:t>
            </w:r>
          </w:p>
        </w:tc>
        <w:tc>
          <w:tcPr>
            <w:tcW w:type="dxa" w:w="1080"/>
          </w:tcPr>
          <w:p>
            <w:r>
              <w:rPr>
                <w:rFonts w:ascii="Calibri" w:hAnsi="Calibri"/>
                <w:sz w:val="22"/>
              </w:rPr>
              <w:t>$0.894</w:t>
            </w:r>
          </w:p>
        </w:tc>
        <w:tc>
          <w:tcPr>
            <w:tcW w:type="dxa" w:w="1080"/>
          </w:tcPr>
          <w:p>
            <w:r>
              <w:rPr>
                <w:rFonts w:ascii="Calibri" w:hAnsi="Calibri"/>
                <w:sz w:val="22"/>
              </w:rPr>
              <w:t>Flat</w:t>
            </w:r>
          </w:p>
        </w:tc>
        <w:tc>
          <w:tcPr>
            <w:tcW w:type="dxa" w:w="1080"/>
          </w:tcPr>
          <w:p>
            <w:r>
              <w:rPr>
                <w:rFonts w:ascii="Calibri" w:hAnsi="Calibri"/>
                <w:sz w:val="22"/>
              </w:rPr>
              <w:t>$0.88</w:t>
            </w:r>
          </w:p>
        </w:tc>
        <w:tc>
          <w:tcPr>
            <w:tcW w:type="dxa" w:w="1080"/>
          </w:tcPr>
          <w:p>
            <w:r>
              <w:rPr>
                <w:rFonts w:ascii="Calibri" w:hAnsi="Calibri"/>
                <w:sz w:val="22"/>
              </w:rPr>
              <w:t>$0.88 (unchanged)</w:t>
            </w:r>
          </w:p>
        </w:tc>
        <w:tc>
          <w:tcPr>
            <w:tcW w:type="dxa" w:w="1080"/>
          </w:tcPr>
          <w:p>
            <w:r>
              <w:rPr>
                <w:rFonts w:ascii="Calibri" w:hAnsi="Calibri"/>
                <w:sz w:val="22"/>
              </w:rPr>
              <w:t>None</w:t>
            </w:r>
          </w:p>
        </w:tc>
        <w:tc>
          <w:tcPr>
            <w:tcW w:type="dxa" w:w="1080"/>
          </w:tcPr>
          <w:p>
            <w:r>
              <w:rPr>
                <w:rFonts w:ascii="Calibri" w:hAnsi="Calibri"/>
                <w:sz w:val="22"/>
              </w:rPr>
              <w:t>+1.6% above guide</w:t>
            </w:r>
          </w:p>
        </w:tc>
      </w:tr>
      <w:tr>
        <w:tc>
          <w:tcPr>
            <w:tcW w:type="dxa" w:w="1080"/>
          </w:tcPr>
          <w:p>
            <w:r>
              <w:rPr>
                <w:rFonts w:ascii="Calibri" w:hAnsi="Calibri"/>
                <w:sz w:val="22"/>
              </w:rPr>
              <w:t>Net Sales — Q2 2026 ($M)</w:t>
            </w:r>
          </w:p>
        </w:tc>
        <w:tc>
          <w:tcPr>
            <w:tcW w:type="dxa" w:w="1080"/>
          </w:tcPr>
          <w:p>
            <w:r>
              <w:rPr>
                <w:rFonts w:ascii="Calibri" w:hAnsi="Calibri"/>
                <w:sz w:val="22"/>
              </w:rPr>
              <w:t>$1,497.4M</w:t>
            </w:r>
          </w:p>
        </w:tc>
        <w:tc>
          <w:tcPr>
            <w:tcW w:type="dxa" w:w="1080"/>
          </w:tcPr>
          <w:p>
            <w:r>
              <w:rPr>
                <w:rFonts w:ascii="Calibri" w:hAnsi="Calibri"/>
                <w:sz w:val="22"/>
              </w:rPr>
              <w:t>$1,502.9M</w:t>
            </w:r>
          </w:p>
        </w:tc>
        <w:tc>
          <w:tcPr>
            <w:tcW w:type="dxa" w:w="1080"/>
          </w:tcPr>
          <w:p>
            <w:r>
              <w:rPr>
                <w:rFonts w:ascii="Calibri" w:hAnsi="Calibri"/>
                <w:sz w:val="22"/>
              </w:rPr>
              <w:t>+0.4%</w:t>
            </w:r>
          </w:p>
        </w:tc>
        <w:tc>
          <w:tcPr>
            <w:tcW w:type="dxa" w:w="1080"/>
          </w:tcPr>
          <w:p>
            <w:r>
              <w:rPr>
                <w:rFonts w:ascii="Calibri" w:hAnsi="Calibri"/>
                <w:sz w:val="22"/>
              </w:rPr>
              <w:t>~−1% reported</w:t>
            </w:r>
          </w:p>
        </w:tc>
        <w:tc>
          <w:tcPr>
            <w:tcW w:type="dxa" w:w="1080"/>
          </w:tcPr>
          <w:p>
            <w:r>
              <w:rPr>
                <w:rFonts w:ascii="Calibri" w:hAnsi="Calibri"/>
                <w:sz w:val="22"/>
              </w:rPr>
              <w:t>~−1% (unchanged)</w:t>
            </w:r>
          </w:p>
        </w:tc>
        <w:tc>
          <w:tcPr>
            <w:tcW w:type="dxa" w:w="1080"/>
          </w:tcPr>
          <w:p>
            <w:r>
              <w:rPr>
                <w:rFonts w:ascii="Calibri" w:hAnsi="Calibri"/>
                <w:sz w:val="22"/>
              </w:rPr>
              <w:t>None</w:t>
            </w:r>
          </w:p>
        </w:tc>
        <w:tc>
          <w:tcPr>
            <w:tcW w:type="dxa" w:w="1080"/>
          </w:tcPr>
          <w:p>
            <w:r>
              <w:rPr>
                <w:rFonts w:ascii="Calibri" w:hAnsi="Calibri"/>
                <w:sz w:val="22"/>
              </w:rPr>
              <w:t>~−0.2% vs. midpoint</w:t>
            </w:r>
          </w:p>
        </w:tc>
      </w:tr>
      <w:tr>
        <w:tc>
          <w:tcPr>
            <w:tcW w:type="dxa" w:w="1080"/>
          </w:tcPr>
          <w:p>
            <w:r>
              <w:rPr>
                <w:rFonts w:ascii="Calibri" w:hAnsi="Calibri"/>
                <w:sz w:val="22"/>
              </w:rPr>
              <w:t>Organic Sales Growth — FY 2026</w:t>
            </w:r>
          </w:p>
        </w:tc>
        <w:tc>
          <w:tcPr>
            <w:tcW w:type="dxa" w:w="1080"/>
          </w:tcPr>
          <w:p>
            <w:r>
              <w:rPr>
                <w:rFonts w:ascii="Calibri" w:hAnsi="Calibri"/>
                <w:sz w:val="22"/>
              </w:rPr>
              <w:t>3.77%</w:t>
            </w:r>
          </w:p>
        </w:tc>
        <w:tc>
          <w:tcPr>
            <w:tcW w:type="dxa" w:w="1080"/>
          </w:tcPr>
          <w:p>
            <w:r>
              <w:rPr>
                <w:rFonts w:ascii="Calibri" w:hAnsi="Calibri"/>
                <w:sz w:val="22"/>
              </w:rPr>
              <w:t>3.77%</w:t>
            </w:r>
          </w:p>
        </w:tc>
        <w:tc>
          <w:tcPr>
            <w:tcW w:type="dxa" w:w="1080"/>
          </w:tcPr>
          <w:p>
            <w:r>
              <w:rPr>
                <w:rFonts w:ascii="Calibri" w:hAnsi="Calibri"/>
                <w:sz w:val="22"/>
              </w:rPr>
              <w:t>Flat</w:t>
            </w:r>
          </w:p>
        </w:tc>
        <w:tc>
          <w:tcPr>
            <w:tcW w:type="dxa" w:w="1080"/>
          </w:tcPr>
          <w:p>
            <w:r>
              <w:rPr>
                <w:rFonts w:ascii="Calibri" w:hAnsi="Calibri"/>
                <w:sz w:val="22"/>
              </w:rPr>
              <w:t>3%–4%</w:t>
            </w:r>
          </w:p>
        </w:tc>
        <w:tc>
          <w:tcPr>
            <w:tcW w:type="dxa" w:w="1080"/>
          </w:tcPr>
          <w:p>
            <w:r>
              <w:rPr>
                <w:rFonts w:ascii="Calibri" w:hAnsi="Calibri"/>
                <w:sz w:val="22"/>
              </w:rPr>
              <w:t>3%–4% (unchanged)</w:t>
            </w:r>
          </w:p>
        </w:tc>
        <w:tc>
          <w:tcPr>
            <w:tcW w:type="dxa" w:w="1080"/>
          </w:tcPr>
          <w:p>
            <w:r>
              <w:rPr>
                <w:rFonts w:ascii="Calibri" w:hAnsi="Calibri"/>
                <w:sz w:val="22"/>
              </w:rPr>
              <w:t>None</w:t>
            </w:r>
          </w:p>
        </w:tc>
        <w:tc>
          <w:tcPr>
            <w:tcW w:type="dxa" w:w="1080"/>
          </w:tcPr>
          <w:p>
            <w:r>
              <w:rPr>
                <w:rFonts w:ascii="Calibri" w:hAnsi="Calibri"/>
                <w:sz w:val="22"/>
              </w:rPr>
              <w:t>Near midpoint of range</w:t>
            </w:r>
          </w:p>
        </w:tc>
      </w:tr>
      <w:tr>
        <w:tc>
          <w:tcPr>
            <w:tcW w:type="dxa" w:w="1080"/>
          </w:tcPr>
          <w:p>
            <w:r>
              <w:rPr>
                <w:rFonts w:ascii="Calibri" w:hAnsi="Calibri"/>
                <w:sz w:val="22"/>
              </w:rPr>
              <w:t>Adjusted EPS — FY 2026</w:t>
            </w:r>
          </w:p>
        </w:tc>
        <w:tc>
          <w:tcPr>
            <w:tcW w:type="dxa" w:w="1080"/>
          </w:tcPr>
          <w:p>
            <w:r>
              <w:rPr>
                <w:rFonts w:ascii="Calibri" w:hAnsi="Calibri"/>
                <w:sz w:val="22"/>
              </w:rPr>
              <w:t>$3.749</w:t>
            </w:r>
          </w:p>
        </w:tc>
        <w:tc>
          <w:tcPr>
            <w:tcW w:type="dxa" w:w="1080"/>
          </w:tcPr>
          <w:p>
            <w:r>
              <w:rPr>
                <w:rFonts w:ascii="Calibri" w:hAnsi="Calibri"/>
                <w:sz w:val="22"/>
              </w:rPr>
              <w:t>$3.753</w:t>
            </w:r>
          </w:p>
        </w:tc>
        <w:tc>
          <w:tcPr>
            <w:tcW w:type="dxa" w:w="1080"/>
          </w:tcPr>
          <w:p>
            <w:r>
              <w:rPr>
                <w:rFonts w:ascii="Calibri" w:hAnsi="Calibri"/>
                <w:sz w:val="22"/>
              </w:rPr>
              <w:t>+0.1%</w:t>
            </w:r>
          </w:p>
        </w:tc>
        <w:tc>
          <w:tcPr>
            <w:tcW w:type="dxa" w:w="1080"/>
          </w:tcPr>
          <w:p>
            <w:r>
              <w:rPr>
                <w:rFonts w:ascii="Calibri" w:hAnsi="Calibri"/>
                <w:sz w:val="22"/>
              </w:rPr>
              <w:t>+5% to +8% growth</w:t>
            </w:r>
          </w:p>
        </w:tc>
        <w:tc>
          <w:tcPr>
            <w:tcW w:type="dxa" w:w="1080"/>
          </w:tcPr>
          <w:p>
            <w:r>
              <w:rPr>
                <w:rFonts w:ascii="Calibri" w:hAnsi="Calibri"/>
                <w:sz w:val="22"/>
              </w:rPr>
              <w:t>+5% to +8% (unchanged)</w:t>
            </w:r>
          </w:p>
        </w:tc>
        <w:tc>
          <w:tcPr>
            <w:tcW w:type="dxa" w:w="1080"/>
          </w:tcPr>
          <w:p>
            <w:r>
              <w:rPr>
                <w:rFonts w:ascii="Calibri" w:hAnsi="Calibri"/>
                <w:sz w:val="22"/>
              </w:rPr>
              <w:t>None</w:t>
            </w:r>
          </w:p>
        </w:tc>
        <w:tc>
          <w:tcPr>
            <w:tcW w:type="dxa" w:w="1080"/>
          </w:tcPr>
          <w:p>
            <w:r>
              <w:rPr>
                <w:rFonts w:ascii="Calibri" w:hAnsi="Calibri"/>
                <w:sz w:val="22"/>
              </w:rPr>
              <w:t>Near low end of range (~+5.5%)</w:t>
            </w:r>
          </w:p>
        </w:tc>
      </w:tr>
      <w:tr>
        <w:tc>
          <w:tcPr>
            <w:tcW w:type="dxa" w:w="1080"/>
          </w:tcPr>
          <w:p>
            <w:r>
              <w:rPr>
                <w:rFonts w:ascii="Calibri" w:hAnsi="Calibri"/>
                <w:sz w:val="22"/>
              </w:rPr>
              <w:t>Net Sales — FY 2026 ($M)</w:t>
            </w:r>
          </w:p>
        </w:tc>
        <w:tc>
          <w:tcPr>
            <w:tcW w:type="dxa" w:w="1080"/>
          </w:tcPr>
          <w:p>
            <w:r>
              <w:rPr>
                <w:rFonts w:ascii="Calibri" w:hAnsi="Calibri"/>
                <w:sz w:val="22"/>
              </w:rPr>
              <w:t>$6,147.1M</w:t>
            </w:r>
          </w:p>
        </w:tc>
        <w:tc>
          <w:tcPr>
            <w:tcW w:type="dxa" w:w="1080"/>
          </w:tcPr>
          <w:p>
            <w:r>
              <w:rPr>
                <w:rFonts w:ascii="Calibri" w:hAnsi="Calibri"/>
                <w:sz w:val="22"/>
              </w:rPr>
              <w:t>$6,177.9M</w:t>
            </w:r>
          </w:p>
        </w:tc>
        <w:tc>
          <w:tcPr>
            <w:tcW w:type="dxa" w:w="1080"/>
          </w:tcPr>
          <w:p>
            <w:r>
              <w:rPr>
                <w:rFonts w:ascii="Calibri" w:hAnsi="Calibri"/>
                <w:sz w:val="22"/>
              </w:rPr>
              <w:t>+0.5%</w:t>
            </w:r>
          </w:p>
        </w:tc>
        <w:tc>
          <w:tcPr>
            <w:tcW w:type="dxa" w:w="1080"/>
          </w:tcPr>
          <w:p>
            <w:r>
              <w:rPr>
                <w:rFonts w:ascii="Calibri" w:hAnsi="Calibri"/>
                <w:sz w:val="22"/>
              </w:rPr>
              <w:t>−1.5% to −0.5% reported</w:t>
            </w:r>
          </w:p>
        </w:tc>
        <w:tc>
          <w:tcPr>
            <w:tcW w:type="dxa" w:w="1080"/>
          </w:tcPr>
          <w:p>
            <w:r>
              <w:rPr>
                <w:rFonts w:ascii="Calibri" w:hAnsi="Calibri"/>
                <w:sz w:val="22"/>
              </w:rPr>
              <w:t>−1.5% to −0.5% (unchanged)</w:t>
            </w:r>
          </w:p>
        </w:tc>
        <w:tc>
          <w:tcPr>
            <w:tcW w:type="dxa" w:w="1080"/>
          </w:tcPr>
          <w:p>
            <w:r>
              <w:rPr>
                <w:rFonts w:ascii="Calibri" w:hAnsi="Calibri"/>
                <w:sz w:val="22"/>
              </w:rPr>
              <w:t>None</w:t>
            </w:r>
          </w:p>
        </w:tc>
        <w:tc>
          <w:tcPr>
            <w:tcW w:type="dxa" w:w="1080"/>
          </w:tcPr>
          <w:p>
            <w:r>
              <w:rPr>
                <w:rFonts w:ascii="Calibri" w:hAnsi="Calibri"/>
                <w:sz w:val="22"/>
              </w:rPr>
              <w:t>In line with guide range</w:t>
            </w:r>
          </w:p>
        </w:tc>
      </w:tr>
    </w:tbl>
    <w:p>
      <w:r>
        <w:rPr>
          <w:rFonts w:ascii="Calibri" w:hAnsi="Calibri"/>
          <w:color w:val="525866"/>
          <w:sz w:val="22"/>
        </w:rPr>
        <w:t>Estimates have been remarkably stable since the Q1 print — the Street has essentially adopted management's guidance as its base case with minimal drift. The FY 2026 EPS consensus of ~$3.75 sits near the low end of the +5%–8% guidance range, implying the market is not yet giving CHD credit for the full range of outcomes, which could represent upside if H2 productivity actions deliver as guided.</w:t>
      </w:r>
    </w:p>
    <w:p>
      <w:r>
        <w:rPr>
          <w:rFonts w:ascii="Calibri" w:hAnsi="Calibri"/>
          <w:i/>
          <w:color w:val="525866"/>
          <w:sz w:val="22"/>
        </w:rPr>
        <w:t>Source: Visible Alpha Consensus and Actuals Data (as-of date 5/7/2026 for post-print baseline; current consensus as of 7/30/2026).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CHD has essentially matched XLP (Consumer Staples ETF) since the Q1 earnings date, with both lagging the S&amp;P 500 — suggesting the stock's performance has been driven by sector rotation and macro sentiment rather than company-specific estimate revisions or multiple expansion. The stock has not priced in a meaningful beat or miss.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CHD vs. XLP (Consumer Staples ETF) vs. S&amp;P 500 (SPY) — Indexed to 100 at Q1 2026 Earnings Date (May 1, 2026). Source: Stock Price Data.</w:t>
      </w:r>
    </w:p>
    <w:p>
      <w:r>
        <w:rPr>
          <w:rFonts w:ascii="Calibri" w:hAnsi="Calibri"/>
          <w:color w:val="525866"/>
          <w:sz w:val="22"/>
        </w:rPr>
        <w:t xml:space="preserve">Since the Q1 2026 earnings date (May 1, 2026), CHD has returned approximately </w:t>
      </w:r>
      <w:r>
        <w:rPr>
          <w:rFonts w:ascii="Calibri" w:hAnsi="Calibri"/>
          <w:b/>
          <w:color w:val="525866"/>
          <w:sz w:val="22"/>
        </w:rPr>
        <w:t>+1.7%</w:t>
      </w:r>
      <w:r>
        <w:rPr>
          <w:rFonts w:ascii="Calibri" w:hAnsi="Calibri"/>
          <w:color w:val="525866"/>
          <w:sz w:val="22"/>
        </w:rPr>
        <w:t xml:space="preserve"> on an indexed basis, compared to XLP at </w:t>
      </w:r>
      <w:r>
        <w:rPr>
          <w:rFonts w:ascii="Calibri" w:hAnsi="Calibri"/>
          <w:b/>
          <w:color w:val="525866"/>
          <w:sz w:val="22"/>
        </w:rPr>
        <w:t>+1.5%</w:t>
      </w:r>
      <w:r>
        <w:rPr>
          <w:rFonts w:ascii="Calibri" w:hAnsi="Calibri"/>
          <w:color w:val="525866"/>
          <w:sz w:val="22"/>
        </w:rPr>
        <w:t xml:space="preserve"> and SPY at </w:t>
      </w:r>
      <w:r>
        <w:rPr>
          <w:rFonts w:ascii="Calibri" w:hAnsi="Calibri"/>
          <w:b/>
          <w:color w:val="525866"/>
          <w:sz w:val="22"/>
        </w:rPr>
        <w:t>+2.9%</w:t>
      </w:r>
      <w:r>
        <w:rPr>
          <w:rFonts w:ascii="Calibri" w:hAnsi="Calibri"/>
          <w:color w:val="525866"/>
          <w:sz w:val="22"/>
        </w:rPr>
        <w:t>. The stock's tight tracking to the sector ETF indicates that macro/sector forces (consumer staples defensiveness, rate expectations) have been the primary driver, not CHD-specific catalysts. The stock dipped to a low of ~$90.72 on May 11 (likely reflecting digestion of the below-consensus Q2 EPS guide) before recovering, and has since traded in a narrow $93–$100 range. The absence of any meaningful outperformance or underperformance vs. XLP suggests the market is in a wait-and-see posture heading into the Q2 print.</w:t>
      </w:r>
    </w:p>
    <w:p>
      <w:r>
        <w:rPr>
          <w:rFonts w:ascii="Calibri" w:hAnsi="Calibri"/>
          <w:i/>
          <w:color w:val="525866"/>
          <w:sz w:val="22"/>
        </w:rPr>
        <w:t>Note: Sector ETF used is XLP (Consumer Staples Select Sector SPDR Fund), which is the standard benchmark for CHD's consumer staples sub-sector. Source: Stock Price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Miss Mouth’s Messy Eater acquisition (closed late May 2026)</w:t>
      </w:r>
      <w:r>
        <w:rPr>
          <w:rFonts w:ascii="Calibri" w:hAnsi="Calibri"/>
          <w:color w:val="525866"/>
          <w:sz w:val="22"/>
        </w:rPr>
        <w:t>, which adds a fast-growing digitally-native brand with low household penetration and significant distribution runway — consistent with CHD’s playbook but EPS-neutral in 2026. The Middle East conflict’s incremental commodity/transportation cost pressure ($25–30M headwind) is the key risk to watch for any guidance revision.</w:t>
      </w:r>
    </w:p>
    <w:p>
      <w:pPr>
        <w:pStyle w:val="ListBullet"/>
        <w:ind w:left="360" w:hanging="360"/>
      </w:pPr>
      <w:r>
        <w:rPr>
          <w:rFonts w:ascii="Calibri" w:hAnsi="Calibri"/>
          <w:b/>
          <w:color w:val="525866"/>
          <w:sz w:val="22"/>
        </w:rPr>
        <w:t>May 1, 2026 — Q1 2026 Earnings Beat / Q2 EPS Guide Reset:</w:t>
      </w:r>
      <w:r>
        <w:rPr>
          <w:rFonts w:ascii="Calibri" w:hAnsi="Calibri"/>
          <w:color w:val="525866"/>
          <w:sz w:val="22"/>
        </w:rPr>
        <w:t xml:space="preserve"> CHD reported Q1 organic sales growth of +5% (vs. +3% guide) and adjusted EPS of $0.95 (vs. $0.92 guide), but Q2 adjusted EPS guidance of $0.88 came in materially below Street consensus. Management reiterated full-year guidance. </w:t>
      </w:r>
      <w:r>
        <w:rPr>
          <w:rFonts w:ascii="Calibri" w:hAnsi="Calibri"/>
          <w:color w:val="525866"/>
          <w:sz w:val="22"/>
        </w:rPr>
        <w:t>Implication: Sets a low bar for Q2 EPS but signals elevated near-term investment spend.</w:t>
      </w:r>
    </w:p>
    <w:p>
      <w:pPr>
        <w:pStyle w:val="ListBullet"/>
        <w:ind w:left="360" w:hanging="360"/>
      </w:pPr>
      <w:r>
        <w:rPr>
          <w:rFonts w:ascii="Calibri" w:hAnsi="Calibri"/>
          <w:b/>
          <w:color w:val="525866"/>
          <w:sz w:val="22"/>
        </w:rPr>
        <w:t>Late May 2026 — Miss Mouth’s Messy Eater Acquisition Closed:</w:t>
      </w:r>
      <w:r>
        <w:rPr>
          <w:rFonts w:ascii="Calibri" w:hAnsi="Calibri"/>
          <w:color w:val="525866"/>
          <w:sz w:val="22"/>
        </w:rPr>
        <w:t xml:space="preserve"> CHD closed the acquisition of Miss Mouth’s Messy Eater, a premium digitally-native stain fighter brand currently at ~1/3 ACV distribution. Expected to be EPS-neutral in 2026 and accretive to cash earnings in 2027. </w:t>
      </w:r>
      <w:r>
        <w:rPr>
          <w:rFonts w:ascii="Calibri" w:hAnsi="Calibri"/>
          <w:color w:val="525866"/>
          <w:sz w:val="22"/>
        </w:rPr>
        <w:t>Implication: Adds a high-penetration-runway brand consistent with CHD’s Hero/TheraBreath playbook; minimal near-term EPS impact.</w:t>
      </w:r>
    </w:p>
    <w:p>
      <w:pPr>
        <w:pStyle w:val="ListBullet"/>
        <w:ind w:left="360" w:hanging="360"/>
      </w:pPr>
      <w:r>
        <w:rPr>
          <w:rFonts w:ascii="Calibri" w:hAnsi="Calibri"/>
          <w:b/>
          <w:color w:val="525866"/>
          <w:sz w:val="22"/>
        </w:rPr>
        <w:t>May 26, 2026 — dbAccess Global Consumer Conference Presentation:</w:t>
      </w:r>
      <w:r>
        <w:rPr>
          <w:rFonts w:ascii="Calibri" w:hAnsi="Calibri"/>
          <w:color w:val="525866"/>
          <w:sz w:val="22"/>
        </w:rPr>
        <w:t xml:space="preserve"> CHD presented at the Deutsche Bank consumer conference. No material guidance changes were disclosed. </w:t>
      </w:r>
      <w:r>
        <w:rPr>
          <w:rFonts w:ascii="Calibri" w:hAnsi="Calibri"/>
          <w:color w:val="525866"/>
          <w:sz w:val="22"/>
        </w:rPr>
        <w:t>Implication: Management tone remained consistent with Q1 call; no pre-announcement signal.</w:t>
      </w:r>
    </w:p>
    <w:p>
      <w:pPr>
        <w:pStyle w:val="ListBullet"/>
        <w:ind w:left="360" w:hanging="360"/>
      </w:pPr>
      <w:r>
        <w:rPr>
          <w:rFonts w:ascii="Calibri" w:hAnsi="Calibri"/>
          <w:b/>
          <w:color w:val="525866"/>
          <w:sz w:val="22"/>
        </w:rPr>
        <w:t>May 5, 2026 — Annual Shareholder Meeting:</w:t>
      </w:r>
      <w:r>
        <w:rPr>
          <w:rFonts w:ascii="Calibri" w:hAnsi="Calibri"/>
          <w:color w:val="525866"/>
          <w:sz w:val="22"/>
        </w:rPr>
        <w:t xml:space="preserve"> Shareholders elected directors, approved executive pay, and rejected a stockholder proposal. Routine governance event. </w:t>
      </w:r>
      <w:r>
        <w:rPr>
          <w:rFonts w:ascii="Calibri" w:hAnsi="Calibri"/>
          <w:color w:val="525866"/>
          <w:sz w:val="22"/>
        </w:rPr>
        <w:t>Implication: No material business impact.</w:t>
      </w:r>
    </w:p>
    <w:p>
      <w:pPr>
        <w:pStyle w:val="ListBullet"/>
        <w:ind w:left="360" w:hanging="360"/>
      </w:pPr>
      <w:r>
        <w:rPr>
          <w:rFonts w:ascii="Calibri" w:hAnsi="Calibri"/>
          <w:b/>
          <w:color w:val="525866"/>
          <w:sz w:val="22"/>
        </w:rPr>
        <w:t>Ongoing — Middle East Conflict / Commodity &amp; Transportation Inflation:</w:t>
      </w:r>
      <w:r>
        <w:rPr>
          <w:rFonts w:ascii="Calibri" w:hAnsi="Calibri"/>
          <w:color w:val="525866"/>
          <w:sz w:val="22"/>
        </w:rPr>
        <w:t xml:space="preserve"> Management quantified $25–30M of incremental inflation pressure from the Middle East conflict (oil-based derivatives: diesel, resin, surfactants; logistics up ~10%). CHD committed to offsetting via productivity, ruling out pricing at current headwind levels. </w:t>
      </w:r>
      <w:r>
        <w:rPr>
          <w:rFonts w:ascii="Calibri" w:hAnsi="Calibri"/>
          <w:color w:val="525866"/>
          <w:sz w:val="22"/>
        </w:rPr>
        <w:t>Implication: Key risk to gross margin if headwinds escalate beyond the $25–30M estimate; management’s productivity-first stance is a differentiator vs. peers (CL, ENR) who are taking pricing.</w:t>
      </w:r>
    </w:p>
    <w:p>
      <w:pPr>
        <w:pStyle w:val="ListBullet"/>
        <w:ind w:left="360" w:hanging="360"/>
      </w:pPr>
      <w:r>
        <w:rPr>
          <w:rFonts w:ascii="Calibri" w:hAnsi="Calibri"/>
          <w:b/>
          <w:color w:val="525866"/>
          <w:sz w:val="22"/>
        </w:rPr>
        <w:t>Ongoing — Touchland Consumption Slowdown in Tracked Channels:</w:t>
      </w:r>
      <w:r>
        <w:rPr>
          <w:rFonts w:ascii="Calibri" w:hAnsi="Calibri"/>
          <w:color w:val="525866"/>
          <w:sz w:val="22"/>
        </w:rPr>
        <w:t xml:space="preserve"> Tracked channel data showed ~20% consumption decline in Q1 2026, though management cited all-in consumption (including untracked channels) of +12–13%. Management maintained double-digit full-year growth expectation. </w:t>
      </w:r>
      <w:r>
        <w:rPr>
          <w:rFonts w:ascii="Calibri" w:hAnsi="Calibri"/>
          <w:color w:val="525866"/>
          <w:sz w:val="22"/>
        </w:rPr>
        <w:t>Implication: Q2 tracked channel data will be closely watched; any further deterioration could pressure the premium multiple assigned to CHD’s innovation pipeline.</w:t>
      </w:r>
    </w:p>
    <w:p>
      <w:pPr>
        <w:pStyle w:val="ListBullet"/>
        <w:ind w:left="360" w:hanging="360"/>
      </w:pPr>
      <w:r>
        <w:rPr>
          <w:rFonts w:ascii="Calibri" w:hAnsi="Calibri"/>
          <w:b/>
          <w:color w:val="525866"/>
          <w:sz w:val="22"/>
        </w:rPr>
        <w:t>Ongoing — ARM &amp; HAMMER Record Share Gains &amp; Distribution Leadership:</w:t>
      </w:r>
      <w:r>
        <w:rPr>
          <w:rFonts w:ascii="Calibri" w:hAnsi="Calibri"/>
          <w:color w:val="525866"/>
          <w:sz w:val="22"/>
        </w:rPr>
        <w:t xml:space="preserve"> CHD ranked #1 across all CPG on total distribution points gained YoY (7% TDP lift on average, ~10–11% in recent resets). ARM &amp; HAMMER laundry hit record shares; TheraBreath achieved record share gains (+3.5 pts to 24.1% mouthwash share). </w:t>
      </w:r>
      <w:r>
        <w:rPr>
          <w:rFonts w:ascii="Calibri" w:hAnsi="Calibri"/>
          <w:color w:val="525866"/>
          <w:sz w:val="22"/>
        </w:rPr>
        <w:t>Implication: Structural tailwind for organic growth; validates volume-led strategy without pricing.</w:t>
      </w:r>
    </w:p>
    <w:p>
      <w:pPr>
        <w:pStyle w:val="ListBullet"/>
        <w:ind w:left="360" w:hanging="360"/>
      </w:pPr>
      <w:r>
        <w:rPr>
          <w:rFonts w:ascii="Calibri" w:hAnsi="Calibri"/>
          <w:b/>
          <w:color w:val="525866"/>
          <w:sz w:val="22"/>
        </w:rPr>
        <w:t>April 2026 — ERP System Upgrade Go-Live:</w:t>
      </w:r>
      <w:r>
        <w:rPr>
          <w:rFonts w:ascii="Calibri" w:hAnsi="Calibri"/>
          <w:color w:val="525866"/>
          <w:sz w:val="22"/>
        </w:rPr>
        <w:t xml:space="preserve"> CHD successfully went live with its upgraded ERP system in April with no customer disruption. </w:t>
      </w:r>
      <w:r>
        <w:rPr>
          <w:rFonts w:ascii="Calibri" w:hAnsi="Calibri"/>
          <w:color w:val="525866"/>
          <w:sz w:val="22"/>
        </w:rPr>
        <w:t>Implication: Reduces operational risk; frees management bandwidth for growth initiatives.</w:t>
      </w:r>
    </w:p>
    <w:p>
      <w:pPr>
        <w:pStyle w:val="ListBullet"/>
        <w:ind w:left="360" w:hanging="360"/>
      </w:pPr>
      <w:r>
        <w:rPr>
          <w:rFonts w:ascii="Calibri" w:hAnsi="Calibri"/>
          <w:b/>
          <w:color w:val="525866"/>
          <w:sz w:val="22"/>
        </w:rPr>
        <w:t>June 24, 2026 — Q2 2026 Earnings Webcast Announcement:</w:t>
      </w:r>
      <w:r>
        <w:rPr>
          <w:rFonts w:ascii="Calibri" w:hAnsi="Calibri"/>
          <w:color w:val="525866"/>
          <w:sz w:val="22"/>
        </w:rPr>
        <w:t xml:space="preserve"> CHD announced Q2 2026 earnings will be webcast on July 31, 2026. Routine disclosure; confirms earnings date.</w:t>
      </w:r>
    </w:p>
    <w:p>
      <w:r>
        <w:br w:type="page"/>
      </w:r>
    </w:p>
    <w:p>
      <w:pPr>
        <w:pStyle w:val="Heading2"/>
      </w:pPr>
      <w:r>
        <w:rPr>
          <w:rFonts w:ascii="Calibri" w:hAnsi="Calibri"/>
          <w:b/>
          <w:color w:val="3B4259"/>
          <w:sz w:val="28"/>
        </w:rPr>
        <w:t>7. Peer Commentaries — Read-Through (Last 60 Days, Q2 2026 Relevant)</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CHD’s Q2 setup: category volumes are stabilizing or improving, the no-pricing stance is validated by peers noting consumer resistance, and gross margin pressure from Middle East/commodity inflation is an industry-wide issue that CHD appears better-positioned to absorb via productivity. The most relevant read-throughs are from </w:t>
      </w:r>
      <w:r>
        <w:rPr>
          <w:rFonts w:ascii="Calibri" w:hAnsi="Calibri"/>
          <w:b/>
          <w:color w:val="525866"/>
          <w:sz w:val="22"/>
        </w:rPr>
        <w:t>Colgate-Palmolive (CL)</w:t>
      </w:r>
      <w:r>
        <w:rPr>
          <w:rFonts w:ascii="Calibri" w:hAnsi="Calibri"/>
          <w:color w:val="525866"/>
          <w:sz w:val="22"/>
        </w:rPr>
        <w:t xml:space="preserve"> and </w:t>
      </w:r>
      <w:r>
        <w:rPr>
          <w:rFonts w:ascii="Calibri" w:hAnsi="Calibri"/>
          <w:b/>
          <w:color w:val="525866"/>
          <w:sz w:val="22"/>
        </w:rPr>
        <w:t>Procter &amp; Gamble (PG)</w:t>
      </w:r>
      <w:r>
        <w:rPr>
          <w:rFonts w:ascii="Calibri" w:hAnsi="Calibri"/>
          <w:color w:val="525866"/>
          <w:sz w:val="22"/>
        </w:rPr>
        <w:t xml:space="preserve"> on consumer/category trends, and </w:t>
      </w:r>
      <w:r>
        <w:rPr>
          <w:rFonts w:ascii="Calibri" w:hAnsi="Calibri"/>
          <w:b/>
          <w:color w:val="525866"/>
          <w:sz w:val="22"/>
        </w:rPr>
        <w:t>Energizer (ENR)</w:t>
      </w:r>
      <w:r>
        <w:rPr>
          <w:rFonts w:ascii="Calibri" w:hAnsi="Calibri"/>
          <w:color w:val="525866"/>
          <w:sz w:val="22"/>
        </w:rPr>
        <w:t xml:space="preserve"> on the cautious consumer and promotional dynamics.</w:t>
      </w:r>
    </w:p>
    <w:p>
      <w:r>
        <w:rPr>
          <w:rFonts w:ascii="Calibri" w:hAnsi="Calibri"/>
          <w:i/>
          <w:color w:val="525866"/>
          <w:sz w:val="22"/>
        </w:rPr>
        <w:t>Note: Only commentary from peers’ Q2 2026 reporting period or post-Q1 2026 earnings calls (i.e., commentary about the current reporting environment, not prior-quarter results) is included below.</w:t>
      </w:r>
    </w:p>
    <w:p>
      <w:pPr>
        <w:pStyle w:val="Heading3"/>
      </w:pPr>
      <w:r>
        <w:rPr>
          <w:rFonts w:ascii="Calibri" w:hAnsi="Calibri"/>
          <w:b/>
          <w:color w:val="3B4259"/>
          <w:sz w:val="24"/>
        </w:rPr>
        <w:t>Colgate-Palmolive (CL) — Q1 2026 Earnings Call (May 1, 2026)</w:t>
      </w:r>
    </w:p>
    <w:p>
      <w:r>
        <w:rPr>
          <w:rFonts w:ascii="Calibri" w:hAnsi="Calibri"/>
          <w:b/>
          <w:color w:val="525866"/>
          <w:sz w:val="22"/>
        </w:rPr>
        <w:t xml:space="preserve">Relevance to CHD: </w:t>
      </w:r>
      <w:r>
        <w:rPr>
          <w:rFonts w:ascii="Calibri" w:hAnsi="Calibri"/>
          <w:color w:val="525866"/>
          <w:sz w:val="22"/>
        </w:rPr>
        <w:t>CL is CHD’s closest peer in household and personal care. CL’s Q1 2026 commentary covers the same calendar quarter as CHD’s Q2 2026 (April–June), making it a direct read-through for category conditions.</w:t>
      </w:r>
    </w:p>
    <w:p>
      <w:pPr>
        <w:pStyle w:val="ListBullet"/>
        <w:ind w:left="360" w:hanging="360"/>
      </w:pPr>
      <w:r>
        <w:rPr>
          <w:rFonts w:ascii="Calibri" w:hAnsi="Calibri"/>
          <w:b/>
          <w:color w:val="525866"/>
          <w:sz w:val="22"/>
        </w:rPr>
        <w:t>Category volumes globally remain “rather sluggish,”</w:t>
      </w:r>
      <w:r>
        <w:rPr>
          <w:rFonts w:ascii="Calibri" w:hAnsi="Calibri"/>
          <w:color w:val="525866"/>
          <w:sz w:val="22"/>
        </w:rPr>
        <w:t xml:space="preserve"> with North America lagging due to later-than-expected shelf resets and new product shipments. CL expects sequential improvement in North America as the year progresses. </w:t>
      </w:r>
      <w:r>
        <w:rPr>
          <w:rFonts w:ascii="Calibri" w:hAnsi="Calibri"/>
          <w:color w:val="525866"/>
          <w:sz w:val="22"/>
        </w:rPr>
        <w:t>CHD read-through: Validates CHD’s ~3% organic guide for Q2 as achievable but not conservative; North America shelf reset timing could be a modest headwind or tailwind depending on execution.</w:t>
      </w:r>
    </w:p>
    <w:p>
      <w:pPr>
        <w:pStyle w:val="ListBullet"/>
        <w:ind w:left="360" w:hanging="360"/>
      </w:pPr>
      <w:r>
        <w:rPr>
          <w:rFonts w:ascii="Calibri" w:hAnsi="Calibri"/>
          <w:b/>
          <w:color w:val="525866"/>
          <w:sz w:val="22"/>
        </w:rPr>
        <w:t>Gross margin guidance cut from up to down YoY</w:t>
      </w:r>
      <w:r>
        <w:rPr>
          <w:rFonts w:ascii="Calibri" w:hAnsi="Calibri"/>
          <w:color w:val="525866"/>
          <w:sz w:val="22"/>
        </w:rPr>
        <w:t xml:space="preserve"> due to ~$300M of additional raw materials and logistics costs (2/3 raw materials, 1/3 logistics; oil byproducts up &gt;20% YoY; logistics up ~10%). CL is taking innovation-led pricing to offset. </w:t>
      </w:r>
      <w:r>
        <w:rPr>
          <w:rFonts w:ascii="Calibri" w:hAnsi="Calibri"/>
          <w:color w:val="525866"/>
          <w:sz w:val="22"/>
        </w:rPr>
        <w:t>CHD read-through: Confirms the commodity/transportation inflation environment CHD flagged ($25–30M headwind). CHD’s decision NOT to take pricing (vs. CL’s pricing stance) is a deliberate strategic differentiation — a risk if inflation accelerates, but a potential share-gain opportunity if consumers resist CL’s pricing.</w:t>
      </w:r>
    </w:p>
    <w:p>
      <w:pPr>
        <w:pStyle w:val="ListBullet"/>
        <w:ind w:left="360" w:hanging="360"/>
      </w:pPr>
      <w:r>
        <w:rPr>
          <w:rFonts w:ascii="Calibri" w:hAnsi="Calibri"/>
          <w:b/>
          <w:color w:val="525866"/>
          <w:sz w:val="22"/>
        </w:rPr>
        <w:t>Tariffs are normalizing as the year progresses</w:t>
      </w:r>
      <w:r>
        <w:rPr>
          <w:rFonts w:ascii="Calibri" w:hAnsi="Calibri"/>
          <w:color w:val="525866"/>
          <w:sz w:val="22"/>
        </w:rPr>
        <w:t xml:space="preserve"> for CL, with North America margins significantly pressured YoY in Q1 but expected to ease. </w:t>
      </w:r>
      <w:r>
        <w:rPr>
          <w:rFonts w:ascii="Calibri" w:hAnsi="Calibri"/>
          <w:color w:val="525866"/>
          <w:sz w:val="22"/>
        </w:rPr>
        <w:t>CHD read-through: Consistent with CHD’s productivity-offset narrative; tariff normalization in H2 is a tailwind for both companies.</w:t>
      </w:r>
    </w:p>
    <w:p>
      <w:pPr>
        <w:pStyle w:val="ListBullet"/>
        <w:ind w:left="360" w:hanging="360"/>
      </w:pPr>
      <w:r>
        <w:rPr>
          <w:rFonts w:ascii="Calibri" w:hAnsi="Calibri"/>
          <w:b/>
          <w:color w:val="525866"/>
          <w:sz w:val="22"/>
        </w:rPr>
        <w:t>Consumer is not showing significant impact yet</w:t>
      </w:r>
      <w:r>
        <w:rPr>
          <w:rFonts w:ascii="Calibri" w:hAnsi="Calibri"/>
          <w:color w:val="525866"/>
          <w:sz w:val="22"/>
        </w:rPr>
        <w:t xml:space="preserve"> but categories have been sluggish; CL is watching carefully. The company notes consumers are willing to pay more for value-added innovation. </w:t>
      </w:r>
      <w:r>
        <w:rPr>
          <w:rFonts w:ascii="Calibri" w:hAnsi="Calibri"/>
          <w:color w:val="525866"/>
          <w:sz w:val="22"/>
        </w:rPr>
        <w:t>CHD read-through: Supports CHD’s volume-led strategy and premium brand positioning (TheraBreath, Hero, Touchland).</w:t>
      </w:r>
    </w:p>
    <w:p>
      <w:pPr>
        <w:pStyle w:val="Heading3"/>
      </w:pPr>
      <w:r>
        <w:rPr>
          <w:rFonts w:ascii="Calibri" w:hAnsi="Calibri"/>
          <w:b/>
          <w:color w:val="3B4259"/>
          <w:sz w:val="24"/>
        </w:rPr>
        <w:t>Procter &amp; Gamble (PG) — Q4 FY2026 Earnings Call (July 29, 2026)</w:t>
      </w:r>
    </w:p>
    <w:p>
      <w:r>
        <w:rPr>
          <w:rFonts w:ascii="Calibri" w:hAnsi="Calibri"/>
          <w:b/>
          <w:color w:val="525866"/>
          <w:sz w:val="22"/>
        </w:rPr>
        <w:t xml:space="preserve">Relevance to CHD: </w:t>
      </w:r>
      <w:r>
        <w:rPr>
          <w:rFonts w:ascii="Calibri" w:hAnsi="Calibri"/>
          <w:color w:val="525866"/>
          <w:sz w:val="22"/>
        </w:rPr>
        <w:t>PG reported on July 29, 2026 — one day before CHD’s earnings preview date. PG’s Q4 FY2026 covers April–June 2026, the exact same calendar period as CHD’s Q2 2026. This is the most timely and directly relevant peer read-through.</w:t>
      </w:r>
    </w:p>
    <w:p>
      <w:pPr>
        <w:pStyle w:val="ListBullet"/>
        <w:ind w:left="360" w:hanging="360"/>
      </w:pPr>
      <w:r>
        <w:rPr>
          <w:rFonts w:ascii="Calibri" w:hAnsi="Calibri"/>
          <w:b/>
          <w:color w:val="525866"/>
          <w:sz w:val="22"/>
        </w:rPr>
        <w:t>PG delivered organic sales growth of ~1% in Q4 FY2026</w:t>
      </w:r>
      <w:r>
        <w:rPr>
          <w:rFonts w:ascii="Calibri" w:hAnsi="Calibri"/>
          <w:color w:val="525866"/>
          <w:sz w:val="22"/>
        </w:rPr>
        <w:t xml:space="preserve"> (adjusting for restructuring, ~2% for the ongoing business), with North America and European focus markets down 1% YoY due to inventory dynamics and value interventions. </w:t>
      </w:r>
      <w:r>
        <w:rPr>
          <w:rFonts w:ascii="Calibri" w:hAnsi="Calibri"/>
          <w:color w:val="525866"/>
          <w:sz w:val="22"/>
        </w:rPr>
        <w:t>CHD read-through: PG’s softer North America result is a mild caution flag, but CHD’s portfolio skews more toward value/mid-tier (ARM &amp; HAMMER) and fast-growing premium niches (TheraBreath, Hero) that are less exposed to PG’s premium-heavy North America dynamics.</w:t>
      </w:r>
    </w:p>
    <w:p>
      <w:pPr>
        <w:pStyle w:val="ListBullet"/>
        <w:ind w:left="360" w:hanging="360"/>
      </w:pPr>
      <w:r>
        <w:rPr>
          <w:rFonts w:ascii="Calibri" w:hAnsi="Calibri"/>
          <w:b/>
          <w:color w:val="525866"/>
          <w:sz w:val="22"/>
        </w:rPr>
        <w:t>The consumer is ‘more discerning on value’</w:t>
      </w:r>
      <w:r>
        <w:rPr>
          <w:rFonts w:ascii="Calibri" w:hAnsi="Calibri"/>
          <w:color w:val="525866"/>
          <w:sz w:val="22"/>
        </w:rPr>
        <w:t xml:space="preserve"> — PG notes the more pressured consumer (lower income) continues to seek smaller pack sizes and is more promotion-sensitive, while PG’s portfolio skews toward the $100K+ income cohort. </w:t>
      </w:r>
      <w:r>
        <w:rPr>
          <w:rFonts w:ascii="Calibri" w:hAnsi="Calibri"/>
          <w:color w:val="525866"/>
          <w:sz w:val="22"/>
        </w:rPr>
        <w:t>CHD read-through: Validates CHD’s no-pricing stance and value-brand strategy (ARM &amp; HAMMER laundry growing despite lower promotion). CHD’s dual value/premium portfolio is well-positioned across income cohorts.</w:t>
      </w:r>
    </w:p>
    <w:p>
      <w:pPr>
        <w:pStyle w:val="ListBullet"/>
        <w:ind w:left="360" w:hanging="360"/>
      </w:pPr>
      <w:r>
        <w:rPr>
          <w:rFonts w:ascii="Calibri" w:hAnsi="Calibri"/>
          <w:b/>
          <w:color w:val="525866"/>
          <w:sz w:val="22"/>
        </w:rPr>
        <w:t>Promotional activity is increasing back toward pre-COVID levels</w:t>
      </w:r>
      <w:r>
        <w:rPr>
          <w:rFonts w:ascii="Calibri" w:hAnsi="Calibri"/>
          <w:color w:val="525866"/>
          <w:sz w:val="22"/>
        </w:rPr>
        <w:t xml:space="preserve"> (Europe volume on promotion up ~5 pts). PG uses promotion primarily to drive trial, not as a sustainable growth tool. </w:t>
      </w:r>
      <w:r>
        <w:rPr>
          <w:rFonts w:ascii="Calibri" w:hAnsi="Calibri"/>
          <w:color w:val="525866"/>
          <w:sz w:val="22"/>
        </w:rPr>
        <w:t>CHD read-through: CHD’s promotional levels in laundry are actually DOWN while achieving all-time share highs — a significant positive differentiation that suggests brand strength rather than promotional dependency.</w:t>
      </w:r>
    </w:p>
    <w:p>
      <w:pPr>
        <w:pStyle w:val="ListBullet"/>
        <w:ind w:left="360" w:hanging="360"/>
      </w:pPr>
      <w:r>
        <w:rPr>
          <w:rFonts w:ascii="Calibri" w:hAnsi="Calibri"/>
          <w:b/>
          <w:color w:val="525866"/>
          <w:sz w:val="22"/>
        </w:rPr>
        <w:t>FY2027 organic sales guidance of 1–3%</w:t>
      </w:r>
      <w:r>
        <w:rPr>
          <w:rFonts w:ascii="Calibri" w:hAnsi="Calibri"/>
          <w:color w:val="525866"/>
          <w:sz w:val="22"/>
        </w:rPr>
        <w:t xml:space="preserve"> with category growth expected at 1–3% local currency. PG expects continued sequential improvement in top line. </w:t>
      </w:r>
      <w:r>
        <w:rPr>
          <w:rFonts w:ascii="Calibri" w:hAnsi="Calibri"/>
          <w:color w:val="525866"/>
          <w:sz w:val="22"/>
        </w:rPr>
        <w:t>CHD read-through: PG’s category growth outlook of 1–3% is below CHD’s 3–4% organic target, reinforcing that CHD’s growth is share-gain driven rather than category-dependent.</w:t>
      </w:r>
    </w:p>
    <w:p>
      <w:pPr>
        <w:pStyle w:val="ListBullet"/>
        <w:ind w:left="360" w:hanging="360"/>
      </w:pPr>
      <w:r>
        <w:rPr>
          <w:rFonts w:ascii="Calibri" w:hAnsi="Calibri"/>
          <w:b/>
          <w:color w:val="525866"/>
          <w:sz w:val="22"/>
        </w:rPr>
        <w:t>Tariff/energy/transportation spike in Q4 FY2026 (~$0.06 EPS impact)</w:t>
      </w:r>
      <w:r>
        <w:rPr>
          <w:rFonts w:ascii="Calibri" w:hAnsi="Calibri"/>
          <w:color w:val="525866"/>
          <w:sz w:val="22"/>
        </w:rPr>
        <w:t xml:space="preserve"> was mostly offset by tariff refunds. FY2027 guidance does not assume significant additional tariff escalation. </w:t>
      </w:r>
      <w:r>
        <w:rPr>
          <w:rFonts w:ascii="Calibri" w:hAnsi="Calibri"/>
          <w:color w:val="525866"/>
          <w:sz w:val="22"/>
        </w:rPr>
        <w:t>CHD read-through: Consistent with CHD’s $25–30M Middle East headwind estimate; PG’s tariff refund benefit is not available to CHD, but CHD’s smaller absolute exposure makes it more manageable via productivity.</w:t>
      </w:r>
    </w:p>
    <w:p>
      <w:pPr>
        <w:pStyle w:val="Heading3"/>
      </w:pPr>
      <w:r>
        <w:rPr>
          <w:rFonts w:ascii="Calibri" w:hAnsi="Calibri"/>
          <w:b/>
          <w:color w:val="3B4259"/>
          <w:sz w:val="24"/>
        </w:rPr>
        <w:t>Energizer Holdings (ENR) — Q2 FY2026 Earnings Call (May 5, 2026)</w:t>
      </w:r>
    </w:p>
    <w:p>
      <w:r>
        <w:rPr>
          <w:rFonts w:ascii="Calibri" w:hAnsi="Calibri"/>
          <w:b/>
          <w:color w:val="525866"/>
          <w:sz w:val="22"/>
        </w:rPr>
        <w:t xml:space="preserve">Relevance to CHD: </w:t>
      </w:r>
      <w:r>
        <w:rPr>
          <w:rFonts w:ascii="Calibri" w:hAnsi="Calibri"/>
          <w:color w:val="525866"/>
          <w:sz w:val="22"/>
        </w:rPr>
        <w:t>ENR’s Q2 FY2026 (February–March 2026) is slightly earlier than CHD’s Q2 2026, but ENR’s forward commentary about Q3/Q4 FY2026 (April–September 2026) is directly relevant to CHD’s current quarter conditions.</w:t>
      </w:r>
    </w:p>
    <w:p>
      <w:pPr>
        <w:pStyle w:val="ListBullet"/>
        <w:ind w:left="360" w:hanging="360"/>
      </w:pPr>
      <w:r>
        <w:rPr>
          <w:rFonts w:ascii="Calibri" w:hAnsi="Calibri"/>
          <w:b/>
          <w:color w:val="525866"/>
          <w:sz w:val="22"/>
        </w:rPr>
        <w:t>The consumer is in a ‘cautious posture’</w:t>
      </w:r>
      <w:r>
        <w:rPr>
          <w:rFonts w:ascii="Calibri" w:hAnsi="Calibri"/>
          <w:color w:val="525866"/>
          <w:sz w:val="22"/>
        </w:rPr>
        <w:t xml:space="preserve"> — seeking value, willing to switch channels, retailers, brands, and pack sizes. ENR is tempering its macro outlook slightly, bringing down Q3/Q4 organic growth calls due to a more cautious consumer than anticipated. Top line now expected to be organically flat for the full year. </w:t>
      </w:r>
      <w:r>
        <w:rPr>
          <w:rFonts w:ascii="Calibri" w:hAnsi="Calibri"/>
          <w:color w:val="525866"/>
          <w:sz w:val="22"/>
        </w:rPr>
        <w:t>CHD read-through: Cautious consumer backdrop is consistent with CHD’s own characterization (‘pressed’ consumer). However, CHD’s categories (laundry, litter, oral care) are more non-discretionary than ENR’s batteries/auto care, providing relative resilience.</w:t>
      </w:r>
    </w:p>
    <w:p>
      <w:pPr>
        <w:pStyle w:val="ListBullet"/>
        <w:ind w:left="360" w:hanging="360"/>
      </w:pPr>
      <w:r>
        <w:rPr>
          <w:rFonts w:ascii="Calibri" w:hAnsi="Calibri"/>
          <w:b/>
          <w:color w:val="525866"/>
          <w:sz w:val="22"/>
        </w:rPr>
        <w:t>Promotional frequency is increasing in the industry</w:t>
      </w:r>
      <w:r>
        <w:rPr>
          <w:rFonts w:ascii="Calibri" w:hAnsi="Calibri"/>
          <w:color w:val="525866"/>
          <w:sz w:val="22"/>
        </w:rPr>
        <w:t xml:space="preserve"> (depth staying about the same). ENR views modest promotion as a wise investment to keep consumers engaged. </w:t>
      </w:r>
      <w:r>
        <w:rPr>
          <w:rFonts w:ascii="Calibri" w:hAnsi="Calibri"/>
          <w:color w:val="525866"/>
          <w:sz w:val="22"/>
        </w:rPr>
        <w:t>CHD read-through: CHD’s promotional levels in laundry are DOWN while achieving record shares — a strong positive signal that brand equity is driving growth, not promotional spend.</w:t>
      </w:r>
    </w:p>
    <w:p>
      <w:pPr>
        <w:pStyle w:val="ListBullet"/>
        <w:ind w:left="360" w:hanging="360"/>
      </w:pPr>
      <w:r>
        <w:rPr>
          <w:rFonts w:ascii="Calibri" w:hAnsi="Calibri"/>
          <w:b/>
          <w:color w:val="525866"/>
          <w:sz w:val="22"/>
        </w:rPr>
        <w:t>Private label is gaining some share</w:t>
      </w:r>
      <w:r>
        <w:rPr>
          <w:rFonts w:ascii="Calibri" w:hAnsi="Calibri"/>
          <w:color w:val="525866"/>
          <w:sz w:val="22"/>
        </w:rPr>
        <w:t xml:space="preserve"> but isolated to fewer retailers and not broad-based. ENR is leveraging value brands (Rayovac, Eveready) to compete. </w:t>
      </w:r>
      <w:r>
        <w:rPr>
          <w:rFonts w:ascii="Calibri" w:hAnsi="Calibri"/>
          <w:color w:val="525866"/>
          <w:sz w:val="22"/>
        </w:rPr>
        <w:t>CHD read-through: CHD’s private label exposure dropped meaningfully post-VMS divestiture. ARM &amp; HAMMER’s value positioning in laundry and litter is a natural defense against private label trade-down.</w:t>
      </w:r>
    </w:p>
    <w:p>
      <w:pPr>
        <w:pStyle w:val="ListBullet"/>
        <w:ind w:left="360" w:hanging="360"/>
      </w:pPr>
      <w:r>
        <w:rPr>
          <w:rFonts w:ascii="Calibri" w:hAnsi="Calibri"/>
          <w:b/>
          <w:color w:val="525866"/>
          <w:sz w:val="22"/>
        </w:rPr>
        <w:t>Middle East accounts for ~1% of ENR revenue</w:t>
      </w:r>
      <w:r>
        <w:rPr>
          <w:rFonts w:ascii="Calibri" w:hAnsi="Calibri"/>
          <w:color w:val="525866"/>
          <w:sz w:val="22"/>
        </w:rPr>
        <w:t xml:space="preserve"> and caused ~50 bps drag to Q2 top line from held shipments. ENR expects to recover most shipments as a timing issue. </w:t>
      </w:r>
      <w:r>
        <w:rPr>
          <w:rFonts w:ascii="Calibri" w:hAnsi="Calibri"/>
          <w:color w:val="525866"/>
          <w:sz w:val="22"/>
        </w:rPr>
        <w:t>CHD read-through: CHD’s International segment (~7% organic growth guided for FY2026) has some Middle East exposure; management cited this as a reason for slightly softer International guidance. ENR’s experience suggests this is manageable and timing-related.</w:t>
      </w:r>
    </w:p>
    <w:p>
      <w:pPr>
        <w:pStyle w:val="ListBullet"/>
        <w:ind w:left="360" w:hanging="360"/>
      </w:pPr>
      <w:r>
        <w:rPr>
          <w:rFonts w:ascii="Calibri" w:hAnsi="Calibri"/>
          <w:b/>
          <w:color w:val="525866"/>
          <w:sz w:val="22"/>
        </w:rPr>
        <w:t>Tariff refunds of $65M booked as receivable</w:t>
      </w:r>
      <w:r>
        <w:rPr>
          <w:rFonts w:ascii="Calibri" w:hAnsi="Calibri"/>
          <w:color w:val="525866"/>
          <w:sz w:val="22"/>
        </w:rPr>
        <w:t xml:space="preserve"> ($48M recognized in Q2, remainder in Q3). ENR continues to incur ~$15M/quarter in tariffs. </w:t>
      </w:r>
      <w:r>
        <w:rPr>
          <w:rFonts w:ascii="Calibri" w:hAnsi="Calibri"/>
          <w:color w:val="525866"/>
          <w:sz w:val="22"/>
        </w:rPr>
        <w:t>CHD read-through: CHD’s tariff exposure is smaller in absolute terms; the industry-wide tariff refund dynamic (post-Supreme Court ruling) is a potential upside not currently in CHD’s guidance.</w:t>
      </w:r>
    </w:p>
    <w:p>
      <w:pPr>
        <w:pStyle w:val="Heading3"/>
      </w:pPr>
      <w:r>
        <w:rPr>
          <w:rFonts w:ascii="Calibri" w:hAnsi="Calibri"/>
          <w:b/>
          <w:color w:val="3B4259"/>
          <w:sz w:val="24"/>
        </w:rPr>
        <w:t>Spectrum Brands (SPB) — Q2 FY2026 Earnings Call (May 7, 2026)</w:t>
      </w:r>
    </w:p>
    <w:p>
      <w:r>
        <w:rPr>
          <w:rFonts w:ascii="Calibri" w:hAnsi="Calibri"/>
          <w:b/>
          <w:color w:val="525866"/>
          <w:sz w:val="22"/>
        </w:rPr>
        <w:t xml:space="preserve">Relevance to CHD: </w:t>
      </w:r>
      <w:r>
        <w:rPr>
          <w:rFonts w:ascii="Calibri" w:hAnsi="Calibri"/>
          <w:color w:val="525866"/>
          <w:sz w:val="22"/>
        </w:rPr>
        <w:t>SPB’s Q2 FY2026 (January–March 2026) covers a slightly earlier period, but SPB’s forward commentary on consumer trends and category dynamics is relevant to CHD’s Q2 2026 setup.</w:t>
      </w:r>
    </w:p>
    <w:p>
      <w:pPr>
        <w:pStyle w:val="ListBullet"/>
        <w:ind w:left="360" w:hanging="360"/>
      </w:pPr>
      <w:r>
        <w:rPr>
          <w:rFonts w:ascii="Calibri" w:hAnsi="Calibri"/>
          <w:b/>
          <w:color w:val="525866"/>
          <w:sz w:val="22"/>
        </w:rPr>
        <w:t>Signs of stabilization in broader markets</w:t>
      </w:r>
      <w:r>
        <w:rPr>
          <w:rFonts w:ascii="Calibri" w:hAnsi="Calibri"/>
          <w:color w:val="525866"/>
          <w:sz w:val="22"/>
        </w:rPr>
        <w:t xml:space="preserve"> with a generally resilient consumer, though management remains cautious about consumer resilience given Middle East geopolitical tensions, rising global fuel prices, and potential U.S. trade policy volatility. </w:t>
      </w:r>
      <w:r>
        <w:rPr>
          <w:rFonts w:ascii="Calibri" w:hAnsi="Calibri"/>
          <w:color w:val="525866"/>
          <w:sz w:val="22"/>
        </w:rPr>
        <w:t>CHD read-through: Consistent with CHD’s ‘pressed but resilient’ consumer characterization. Stabilization is a positive backdrop for CHD’s volume-led organic growth strategy.</w:t>
      </w:r>
    </w:p>
    <w:p>
      <w:pPr>
        <w:pStyle w:val="ListBullet"/>
        <w:ind w:left="360" w:hanging="360"/>
      </w:pPr>
      <w:r>
        <w:rPr>
          <w:rFonts w:ascii="Calibri" w:hAnsi="Calibri"/>
          <w:b/>
          <w:color w:val="525866"/>
          <w:sz w:val="22"/>
        </w:rPr>
        <w:t>Global Pet Care (GPC) organic net sales up +7.6%</w:t>
      </w:r>
      <w:r>
        <w:rPr>
          <w:rFonts w:ascii="Calibri" w:hAnsi="Calibri"/>
          <w:color w:val="525866"/>
          <w:sz w:val="22"/>
        </w:rPr>
        <w:t xml:space="preserve"> and Home &amp; Garden up +11.3% — strong performance in non-discretionary/seasonal categories. HPC (Home &amp; Personal Care) organic sales down 10.7% due to consumer softness and tariff-driven higher product costs. </w:t>
      </w:r>
      <w:r>
        <w:rPr>
          <w:rFonts w:ascii="Calibri" w:hAnsi="Calibri"/>
          <w:color w:val="525866"/>
          <w:sz w:val="22"/>
        </w:rPr>
        <w:t>CHD read-through: CHD’s ARM &amp; HAMMER cat litter (+6.8% consumption growth) is directly comparable to SPB’s strong pet care performance — a positive read-through for CHD’s litter segment.</w:t>
      </w:r>
    </w:p>
    <w:p>
      <w:pPr>
        <w:pStyle w:val="ListBullet"/>
        <w:ind w:left="360" w:hanging="360"/>
      </w:pPr>
      <w:r>
        <w:rPr>
          <w:rFonts w:ascii="Calibri" w:hAnsi="Calibri"/>
          <w:b/>
          <w:color w:val="525866"/>
          <w:sz w:val="22"/>
        </w:rPr>
        <w:t>Pricing actions and cost improvement driving margin recovery</w:t>
      </w:r>
      <w:r>
        <w:rPr>
          <w:rFonts w:ascii="Calibri" w:hAnsi="Calibri"/>
          <w:color w:val="525866"/>
          <w:sz w:val="22"/>
        </w:rPr>
        <w:t xml:space="preserve"> despite tariff headwinds. SPB raised its FY2026 adjusted EBITDA outlook to low-to-mid single digit growth. </w:t>
      </w:r>
      <w:r>
        <w:rPr>
          <w:rFonts w:ascii="Calibri" w:hAnsi="Calibri"/>
          <w:color w:val="525866"/>
          <w:sz w:val="22"/>
        </w:rPr>
        <w:t>CHD read-through: SPB’s margin recovery via pricing contrasts with CHD’s productivity-only approach; CHD’s stronger brand equity allows it to avoid pricing while still expanding margins.</w:t>
      </w:r>
    </w:p>
    <w:p>
      <w:r>
        <w:rPr>
          <w:rFonts w:ascii="Calibri" w:hAnsi="Calibri"/>
          <w:i/>
          <w:color w:val="525866"/>
          <w:sz w:val="22"/>
        </w:rPr>
        <w:t>Sources: CL Q1 2026 Earnings Call Transcript (May 1, 2026); PG Q4 FY2026 Earnings Call Transcript (July 29, 2026); ENR Q2 FY2026 Earnings Call Transcript (May 5, 2026); SPB Q2 FY2026 Earnings Call Transcript (May 7,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insiders since the Q1 2026 earnings date. All transactions are either routine equity award grants (code A), option exercises paired with same-day sales (code M+S — exercise-and-sell, effectively cashless), or tax withholding dispositions (code F). The absence of any discretionary open-market purchases or unusual sales is a neutral signal — nothing stands out as a meaningful insider conviction signal in either direction.</w:t>
      </w:r>
    </w:p>
    <w:p>
      <w:pPr>
        <w:pStyle w:val="Heading3"/>
      </w:pPr>
      <w:r>
        <w:rPr>
          <w:rFonts w:ascii="Calibri" w:hAnsi="Calibri"/>
          <w:b/>
          <w:color w:val="3B4259"/>
          <w:sz w:val="24"/>
        </w:rPr>
        <w:t>Open-Market Buys and Sells (Form 4, Codes P/S) — Since May 1, 2026</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Linares Carlos G.</w:t>
            </w:r>
          </w:p>
        </w:tc>
        <w:tc>
          <w:tcPr>
            <w:tcW w:type="dxa" w:w="1440"/>
          </w:tcPr>
          <w:p>
            <w:r>
              <w:rPr>
                <w:rFonts w:ascii="Calibri" w:hAnsi="Calibri"/>
                <w:sz w:val="22"/>
              </w:rPr>
              <w:t>EVP Chief Tech &amp; Global New Prod</w:t>
            </w:r>
          </w:p>
        </w:tc>
        <w:tc>
          <w:tcPr>
            <w:tcW w:type="dxa" w:w="1440"/>
          </w:tcPr>
          <w:p>
            <w:r>
              <w:rPr>
                <w:rFonts w:ascii="Calibri" w:hAnsi="Calibri"/>
                <w:sz w:val="22"/>
              </w:rPr>
              <w:t>Option Exercise + Same-Day Sale (M+S)</w:t>
            </w:r>
          </w:p>
        </w:tc>
        <w:tc>
          <w:tcPr>
            <w:tcW w:type="dxa" w:w="1440"/>
          </w:tcPr>
          <w:p>
            <w:r>
              <w:rPr>
                <w:rFonts w:ascii="Calibri" w:hAnsi="Calibri"/>
                <w:sz w:val="22"/>
              </w:rPr>
              <w:t>10,000 shares sold</w:t>
            </w:r>
          </w:p>
        </w:tc>
        <w:tc>
          <w:tcPr>
            <w:tcW w:type="dxa" w:w="1440"/>
          </w:tcPr>
          <w:p>
            <w:r>
              <w:rPr>
                <w:rFonts w:ascii="Calibri" w:hAnsi="Calibri"/>
                <w:sz w:val="22"/>
              </w:rPr>
              <w:t>Jun 16, 2026</w:t>
            </w:r>
          </w:p>
        </w:tc>
        <w:tc>
          <w:tcPr>
            <w:tcW w:type="dxa" w:w="1440"/>
          </w:tcPr>
          <w:p>
            <w:r>
              <w:rPr>
                <w:rFonts w:ascii="Calibri" w:hAnsi="Calibri"/>
                <w:sz w:val="22"/>
              </w:rPr>
              <w:t>Cashless exercise of stock option; not a discretionary open-market sale</w:t>
            </w:r>
          </w:p>
        </w:tc>
      </w:tr>
      <w:tr>
        <w:tc>
          <w:tcPr>
            <w:tcW w:type="dxa" w:w="1440"/>
          </w:tcPr>
          <w:p>
            <w:r>
              <w:rPr>
                <w:rFonts w:ascii="Calibri" w:hAnsi="Calibri"/>
                <w:sz w:val="22"/>
              </w:rPr>
              <w:t>SHEARER ROBERT K</w:t>
            </w:r>
          </w:p>
        </w:tc>
        <w:tc>
          <w:tcPr>
            <w:tcW w:type="dxa" w:w="1440"/>
          </w:tcPr>
          <w:p>
            <w:r>
              <w:rPr>
                <w:rFonts w:ascii="Calibri" w:hAnsi="Calibri"/>
                <w:sz w:val="22"/>
              </w:rPr>
              <w:t>Director</w:t>
            </w:r>
          </w:p>
        </w:tc>
        <w:tc>
          <w:tcPr>
            <w:tcW w:type="dxa" w:w="1440"/>
          </w:tcPr>
          <w:p>
            <w:r>
              <w:rPr>
                <w:rFonts w:ascii="Calibri" w:hAnsi="Calibri"/>
                <w:sz w:val="22"/>
              </w:rPr>
              <w:t>Option Exercise + Same-Day Sale (M+S)</w:t>
            </w:r>
          </w:p>
        </w:tc>
        <w:tc>
          <w:tcPr>
            <w:tcW w:type="dxa" w:w="1440"/>
          </w:tcPr>
          <w:p>
            <w:r>
              <w:rPr>
                <w:rFonts w:ascii="Calibri" w:hAnsi="Calibri"/>
                <w:sz w:val="22"/>
              </w:rPr>
              <w:t>8,600 shares sold</w:t>
            </w:r>
          </w:p>
        </w:tc>
        <w:tc>
          <w:tcPr>
            <w:tcW w:type="dxa" w:w="1440"/>
          </w:tcPr>
          <w:p>
            <w:r>
              <w:rPr>
                <w:rFonts w:ascii="Calibri" w:hAnsi="Calibri"/>
                <w:sz w:val="22"/>
              </w:rPr>
              <w:t>Jun 11, 2026</w:t>
            </w:r>
          </w:p>
        </w:tc>
        <w:tc>
          <w:tcPr>
            <w:tcW w:type="dxa" w:w="1440"/>
          </w:tcPr>
          <w:p>
            <w:r>
              <w:rPr>
                <w:rFonts w:ascii="Calibri" w:hAnsi="Calibri"/>
                <w:sz w:val="22"/>
              </w:rPr>
              <w:t>Cashless exercise of stock option; not a discretionary open-market sale</w:t>
            </w:r>
          </w:p>
        </w:tc>
      </w:tr>
      <w:tr>
        <w:tc>
          <w:tcPr>
            <w:tcW w:type="dxa" w:w="1440"/>
          </w:tcPr>
          <w:p>
            <w:r>
              <w:rPr>
                <w:rFonts w:ascii="Calibri" w:hAnsi="Calibri"/>
                <w:sz w:val="22"/>
              </w:rPr>
              <w:t>Buchert Brian D</w:t>
            </w:r>
          </w:p>
        </w:tc>
        <w:tc>
          <w:tcPr>
            <w:tcW w:type="dxa" w:w="1440"/>
          </w:tcPr>
          <w:p>
            <w:r>
              <w:rPr>
                <w:rFonts w:ascii="Calibri" w:hAnsi="Calibri"/>
                <w:sz w:val="22"/>
              </w:rPr>
              <w:t>EVP of Strategy, M&amp;A, and BP</w:t>
            </w:r>
          </w:p>
        </w:tc>
        <w:tc>
          <w:tcPr>
            <w:tcW w:type="dxa" w:w="1440"/>
          </w:tcPr>
          <w:p>
            <w:r>
              <w:rPr>
                <w:rFonts w:ascii="Calibri" w:hAnsi="Calibri"/>
                <w:sz w:val="22"/>
              </w:rPr>
              <w:t>Option Exercise + Same-Day Sale (M+S)</w:t>
            </w:r>
          </w:p>
        </w:tc>
        <w:tc>
          <w:tcPr>
            <w:tcW w:type="dxa" w:w="1440"/>
          </w:tcPr>
          <w:p>
            <w:r>
              <w:rPr>
                <w:rFonts w:ascii="Calibri" w:hAnsi="Calibri"/>
                <w:sz w:val="22"/>
              </w:rPr>
              <w:t>10,160 shares sold</w:t>
            </w:r>
          </w:p>
        </w:tc>
        <w:tc>
          <w:tcPr>
            <w:tcW w:type="dxa" w:w="1440"/>
          </w:tcPr>
          <w:p>
            <w:r>
              <w:rPr>
                <w:rFonts w:ascii="Calibri" w:hAnsi="Calibri"/>
                <w:sz w:val="22"/>
              </w:rPr>
              <w:t>Jun 10, 2026</w:t>
            </w:r>
          </w:p>
        </w:tc>
        <w:tc>
          <w:tcPr>
            <w:tcW w:type="dxa" w:w="1440"/>
          </w:tcPr>
          <w:p>
            <w:r>
              <w:rPr>
                <w:rFonts w:ascii="Calibri" w:hAnsi="Calibri"/>
                <w:sz w:val="22"/>
              </w:rPr>
              <w:t>Cashless exercise of stock option; not a discretionary open-market sale</w:t>
            </w:r>
          </w:p>
        </w:tc>
      </w:tr>
      <w:tr>
        <w:tc>
          <w:tcPr>
            <w:tcW w:type="dxa" w:w="1440"/>
          </w:tcPr>
          <w:p>
            <w:r>
              <w:rPr>
                <w:rFonts w:ascii="Calibri" w:hAnsi="Calibri"/>
                <w:sz w:val="22"/>
              </w:rPr>
              <w:t>Saligram Ravichandra K.</w:t>
            </w:r>
          </w:p>
        </w:tc>
        <w:tc>
          <w:tcPr>
            <w:tcW w:type="dxa" w:w="1440"/>
          </w:tcPr>
          <w:p>
            <w:r>
              <w:rPr>
                <w:rFonts w:ascii="Calibri" w:hAnsi="Calibri"/>
                <w:sz w:val="22"/>
              </w:rPr>
              <w:t>Director</w:t>
            </w:r>
          </w:p>
        </w:tc>
        <w:tc>
          <w:tcPr>
            <w:tcW w:type="dxa" w:w="1440"/>
          </w:tcPr>
          <w:p>
            <w:r>
              <w:rPr>
                <w:rFonts w:ascii="Calibri" w:hAnsi="Calibri"/>
                <w:sz w:val="22"/>
              </w:rPr>
              <w:t>Option Exercise + Same-Day Sale (M+S)</w:t>
            </w:r>
          </w:p>
        </w:tc>
        <w:tc>
          <w:tcPr>
            <w:tcW w:type="dxa" w:w="1440"/>
          </w:tcPr>
          <w:p>
            <w:r>
              <w:rPr>
                <w:rFonts w:ascii="Calibri" w:hAnsi="Calibri"/>
                <w:sz w:val="22"/>
              </w:rPr>
              <w:t>12,960 shares sold</w:t>
            </w:r>
          </w:p>
        </w:tc>
        <w:tc>
          <w:tcPr>
            <w:tcW w:type="dxa" w:w="1440"/>
          </w:tcPr>
          <w:p>
            <w:r>
              <w:rPr>
                <w:rFonts w:ascii="Calibri" w:hAnsi="Calibri"/>
                <w:sz w:val="22"/>
              </w:rPr>
              <w:t>Jun 10, 2026</w:t>
            </w:r>
          </w:p>
        </w:tc>
        <w:tc>
          <w:tcPr>
            <w:tcW w:type="dxa" w:w="1440"/>
          </w:tcPr>
          <w:p>
            <w:r>
              <w:rPr>
                <w:rFonts w:ascii="Calibri" w:hAnsi="Calibri"/>
                <w:sz w:val="22"/>
              </w:rPr>
              <w:t>Cashless exercise of stock option via revocable trust; not a discretionary open-market sale</w:t>
            </w:r>
          </w:p>
        </w:tc>
      </w:tr>
      <w:tr>
        <w:tc>
          <w:tcPr>
            <w:tcW w:type="dxa" w:w="1440"/>
          </w:tcPr>
          <w:p>
            <w:r>
              <w:rPr>
                <w:rFonts w:ascii="Calibri" w:hAnsi="Calibri"/>
                <w:sz w:val="22"/>
              </w:rPr>
              <w:t>Raup Charles R</w:t>
            </w:r>
          </w:p>
        </w:tc>
        <w:tc>
          <w:tcPr>
            <w:tcW w:type="dxa" w:w="1440"/>
          </w:tcPr>
          <w:p>
            <w:r>
              <w:rPr>
                <w:rFonts w:ascii="Calibri" w:hAnsi="Calibri"/>
                <w:sz w:val="22"/>
              </w:rPr>
              <w:t>President US Domestic</w:t>
            </w:r>
          </w:p>
        </w:tc>
        <w:tc>
          <w:tcPr>
            <w:tcW w:type="dxa" w:w="1440"/>
          </w:tcPr>
          <w:p>
            <w:r>
              <w:rPr>
                <w:rFonts w:ascii="Calibri" w:hAnsi="Calibri"/>
                <w:sz w:val="22"/>
              </w:rPr>
              <w:t>Tax Withholding Disposition (F)</w:t>
            </w:r>
          </w:p>
        </w:tc>
        <w:tc>
          <w:tcPr>
            <w:tcW w:type="dxa" w:w="1440"/>
          </w:tcPr>
          <w:p>
            <w:r>
              <w:rPr>
                <w:rFonts w:ascii="Calibri" w:hAnsi="Calibri"/>
                <w:sz w:val="22"/>
              </w:rPr>
              <w:t>853 shares</w:t>
            </w:r>
          </w:p>
        </w:tc>
        <w:tc>
          <w:tcPr>
            <w:tcW w:type="dxa" w:w="1440"/>
          </w:tcPr>
          <w:p>
            <w:r>
              <w:rPr>
                <w:rFonts w:ascii="Calibri" w:hAnsi="Calibri"/>
                <w:sz w:val="22"/>
              </w:rPr>
              <w:t>Jun 25, 2026</w:t>
            </w:r>
          </w:p>
        </w:tc>
        <w:tc>
          <w:tcPr>
            <w:tcW w:type="dxa" w:w="1440"/>
          </w:tcPr>
          <w:p>
            <w:r>
              <w:rPr>
                <w:rFonts w:ascii="Calibri" w:hAnsi="Calibri"/>
                <w:sz w:val="22"/>
              </w:rPr>
              <w:t>Shares withheld for tax obligation on vesting; obligation-driven, not discretionary</w:t>
            </w:r>
          </w:p>
        </w:tc>
      </w:tr>
      <w:tr>
        <w:tc>
          <w:tcPr>
            <w:tcW w:type="dxa" w:w="1440"/>
          </w:tcPr>
          <w:p>
            <w:r>
              <w:rPr>
                <w:rFonts w:ascii="Calibri" w:hAnsi="Calibri"/>
                <w:sz w:val="22"/>
              </w:rPr>
              <w:t>Price Penry W</w:t>
            </w:r>
          </w:p>
        </w:tc>
        <w:tc>
          <w:tcPr>
            <w:tcW w:type="dxa" w:w="1440"/>
          </w:tcPr>
          <w:p>
            <w:r>
              <w:rPr>
                <w:rFonts w:ascii="Calibri" w:hAnsi="Calibri"/>
                <w:sz w:val="22"/>
              </w:rPr>
              <w:t>Director</w:t>
            </w:r>
          </w:p>
        </w:tc>
        <w:tc>
          <w:tcPr>
            <w:tcW w:type="dxa" w:w="1440"/>
          </w:tcPr>
          <w:p>
            <w:r>
              <w:rPr>
                <w:rFonts w:ascii="Calibri" w:hAnsi="Calibri"/>
                <w:sz w:val="22"/>
              </w:rPr>
              <w:t>Option Exercise + Same-Day Sale (M+S)</w:t>
            </w:r>
          </w:p>
        </w:tc>
        <w:tc>
          <w:tcPr>
            <w:tcW w:type="dxa" w:w="1440"/>
          </w:tcPr>
          <w:p>
            <w:r>
              <w:rPr>
                <w:rFonts w:ascii="Calibri" w:hAnsi="Calibri"/>
                <w:sz w:val="22"/>
              </w:rPr>
              <w:t>5,960 shares sold</w:t>
            </w:r>
          </w:p>
        </w:tc>
        <w:tc>
          <w:tcPr>
            <w:tcW w:type="dxa" w:w="1440"/>
          </w:tcPr>
          <w:p>
            <w:r>
              <w:rPr>
                <w:rFonts w:ascii="Calibri" w:hAnsi="Calibri"/>
                <w:sz w:val="22"/>
              </w:rPr>
              <w:t>May 13, 2026</w:t>
            </w:r>
          </w:p>
        </w:tc>
        <w:tc>
          <w:tcPr>
            <w:tcW w:type="dxa" w:w="1440"/>
          </w:tcPr>
          <w:p>
            <w:r>
              <w:rPr>
                <w:rFonts w:ascii="Calibri" w:hAnsi="Calibri"/>
                <w:sz w:val="22"/>
              </w:rPr>
              <w:t>Cashless exercise of stock option; not a discretionary open-market sale</w:t>
            </w:r>
          </w:p>
        </w:tc>
      </w:tr>
      <w:tr>
        <w:tc>
          <w:tcPr>
            <w:tcW w:type="dxa" w:w="1440"/>
          </w:tcPr>
          <w:p>
            <w:r>
              <w:rPr>
                <w:rFonts w:ascii="Calibri" w:hAnsi="Calibri"/>
                <w:sz w:val="22"/>
              </w:rPr>
              <w:t>Longo Joseph James</w:t>
            </w:r>
          </w:p>
        </w:tc>
        <w:tc>
          <w:tcPr>
            <w:tcW w:type="dxa" w:w="1440"/>
          </w:tcPr>
          <w:p>
            <w:r>
              <w:rPr>
                <w:rFonts w:ascii="Calibri" w:hAnsi="Calibri"/>
                <w:sz w:val="22"/>
              </w:rPr>
              <w:t>VP, Controller and CAO</w:t>
            </w:r>
          </w:p>
        </w:tc>
        <w:tc>
          <w:tcPr>
            <w:tcW w:type="dxa" w:w="1440"/>
          </w:tcPr>
          <w:p>
            <w:r>
              <w:rPr>
                <w:rFonts w:ascii="Calibri" w:hAnsi="Calibri"/>
                <w:sz w:val="22"/>
              </w:rPr>
              <w:t>Tax Withholding Disposition (F)</w:t>
            </w:r>
          </w:p>
        </w:tc>
        <w:tc>
          <w:tcPr>
            <w:tcW w:type="dxa" w:w="1440"/>
          </w:tcPr>
          <w:p>
            <w:r>
              <w:rPr>
                <w:rFonts w:ascii="Calibri" w:hAnsi="Calibri"/>
                <w:sz w:val="22"/>
              </w:rPr>
              <w:t>213 shares</w:t>
            </w:r>
          </w:p>
        </w:tc>
        <w:tc>
          <w:tcPr>
            <w:tcW w:type="dxa" w:w="1440"/>
          </w:tcPr>
          <w:p>
            <w:r>
              <w:rPr>
                <w:rFonts w:ascii="Calibri" w:hAnsi="Calibri"/>
                <w:sz w:val="22"/>
              </w:rPr>
              <w:t>May 1, 2026</w:t>
            </w:r>
          </w:p>
        </w:tc>
        <w:tc>
          <w:tcPr>
            <w:tcW w:type="dxa" w:w="1440"/>
          </w:tcPr>
          <w:p>
            <w:r>
              <w:rPr>
                <w:rFonts w:ascii="Calibri" w:hAnsi="Calibri"/>
                <w:sz w:val="22"/>
              </w:rPr>
              <w:t>Shares withheld for tax obligation on vesting; obligation-driven, not discretionary</w:t>
            </w:r>
          </w:p>
        </w:tc>
      </w:tr>
    </w:tbl>
    <w:p>
      <w:r>
        <w:rPr>
          <w:rFonts w:ascii="Calibri" w:hAnsi="Calibri"/>
          <w:color w:val="525866"/>
          <w:sz w:val="22"/>
        </w:rPr>
        <w:t>All other Form 4 filings since May 1, 2026 are routine equity award grants (transaction code A) to executives and directors — phantom stock accruals, annual director equity grants, and option grants. No open-market purchases (code P) were filed by any insider during the period. The cluster of option exercise-and-sell transactions in June 2026 is consistent with normal post-vesting liquidity activity and does not represent a discretionary bearish signal.</w:t>
      </w:r>
    </w:p>
    <w:p>
      <w:r>
        <w:rPr>
          <w:rFonts w:ascii="Calibri" w:hAnsi="Calibri"/>
          <w:i/>
          <w:color w:val="525866"/>
          <w:sz w:val="22"/>
        </w:rPr>
        <w:t>Source: Insider Transaction Data (SEC Form 4 filings, May 1, 2026 – July 30,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