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hrw-earnings-predictions--2026-07-29"/>
    <w:p>
      <w:pPr>
        <w:pStyle w:val="Heading1"/>
      </w:pPr>
      <w:r>
        <w:t xml:space="preserve">CHRW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CHRW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~$1.53 vs. cons $1.49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CHRW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adjusted gross profit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725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712M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CHRW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income from operations (NAST-led)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245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233M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CHRW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target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reaffirmed ~$6.00 vs. cons $6.08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CHRW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$604M verdict — litigation reserve / insurance coverage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reserve likely ~$0–100M booked vs. $604M advisory verdict (post-trial/appeal, no dollar exposure quantified)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CHRW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dry-van spot rate assumption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~+17% vs. prior +8% (FY2026); supportive of NAST margin defense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CHRW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Capital returns / buyback pace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pace ~</w:t>
            </w:r>
            <m:oMath>
              <m:r>
                <m:t>300</m:t>
              </m:r>
              <m:r>
                <m:t>M</m:t>
              </m:r>
              <m:r>
                <m:rPr>
                  <m:sty m:val="p"/>
                </m:rPr>
                <m:t>+</m:t>
              </m:r>
              <m:r>
                <m:rPr>
                  <m:sty m:val="p"/>
                </m:rPr>
                <m:t>/</m:t>
              </m:r>
              <m:r>
                <m:t>q</m:t>
              </m:r>
              <m:r>
                <m:t>t</m:t>
              </m:r>
              <m:r>
                <m:t>r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 </m:t>
              </m:r>
            </m:oMath>
            <w:r>
              <w:t xml:space="preserve">360M Q1 (2H26); net debt/EBITDA ~1.3x, likely sustained despite overhang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CHRW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CHRW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+2.0% (STABILIZE)</w:t>
            </w:r>
          </w:p>
        </w:tc>
        <w:tc>
          <w:tcPr/>
          <w:p>
            <w:pPr>
              <w:pStyle w:val="Compact"/>
            </w:pPr>
            <w:r>
              <w:t xml:space="preserve">Operational beat (~$1.53 vs $1.49) into a deeply oversold, ~18% post-verdict drawdown sets up a relief bounce as management stresses the verdict is advisory/appealable and adjusted EPS estimates hold (spot rates well above plan, NAST share gains, Lean AI self-help). But the verdict is excluded from adjusted EPS, so out-period adjusted numbers see little downward revision — the pressure is multiple compression from a genuinely open-ended post-Montgomery liability tail, not EPS cuts. Net: initial bounce partially holds but litigation overhang and cautious PT cuts cap follow-through, leaving a stabilize path rather than clean follow-through or full fade.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2026-07-29T01:46:05Z</dcterms:created>
  <dcterms:modified xsi:type="dcterms:W3CDTF">2026-07-29T01:46:05Z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