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hrw-earnings-predictions--2026-07-29"/>
    <w:p>
      <w:pPr>
        <w:pStyle w:val="Heading1"/>
      </w:pPr>
      <w:r>
        <w:t xml:space="preserve">CHRW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CHRW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~$1.58 vs. cons $1.51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CHRW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~$4.40B vs. cons $4.36B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CHRW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NAST Adjusted Gross Margin %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~14.0% vs. cons/expectation ~14.6%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CHRW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~$6.00 vs. cons $6.08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CHRW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Dry Van Spot Rate Assumption (cost headwind)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~19% y/y vs. prior guide 17% y/y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CHRW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Litigation loss-contingency disclosure/reserve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0</m:t>
              </m:r>
              <m:r>
                <m:t>M</m:t>
              </m:r>
              <m:r>
                <m:t>b</m:t>
              </m:r>
              <m:r>
                <m:t>o</m:t>
              </m:r>
              <m:r>
                <m:t>o</m:t>
              </m:r>
              <m:r>
                <m:t>k</m:t>
              </m:r>
              <m:r>
                <m:t>e</m:t>
              </m:r>
              <m:r>
                <m:t>d</m:t>
              </m:r>
              <m:r>
                <m:rPr>
                  <m:sty m:val="p"/>
                </m:rPr>
                <m:t>(</m:t>
              </m:r>
              <m:r>
                <m:t>n</m:t>
              </m:r>
              <m:r>
                <m:t>o</m:t>
              </m:r>
              <m:r>
                <m:t>n</m:t>
              </m:r>
              <m:r>
                <m:rPr>
                  <m:sty m:val="p"/>
                </m:rPr>
                <m:t>−</m:t>
              </m:r>
              <m:r>
                <m:t>e</m:t>
              </m:r>
              <m:r>
                <m:t>s</m:t>
              </m:r>
              <m:r>
                <m:t>t</m:t>
              </m:r>
              <m:r>
                <m:t>i</m:t>
              </m:r>
              <m:r>
                <m:t>m</m:t>
              </m:r>
              <m:r>
                <m:t>a</m:t>
              </m:r>
              <m:r>
                <m:t>b</m:t>
              </m:r>
              <m:r>
                <m:t>l</m:t>
              </m:r>
              <m:r>
                <m:t>e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s</m:t>
              </m:r>
              <m:r>
                <m:t>t</m:t>
              </m:r>
              <m:r>
                <m:t>r</m:t>
              </m:r>
              <m:r>
                <m:t>e</m:t>
              </m:r>
              <m:r>
                <m:t>e</m:t>
              </m:r>
              <m:r>
                <m:t>t</m:t>
              </m:r>
              <m:r>
                <m:t>b</m:t>
              </m:r>
              <m:r>
                <m:t>a</m:t>
              </m:r>
              <m:r>
                <m:t>l</m:t>
              </m:r>
              <m:r>
                <m:t>l</m:t>
              </m:r>
              <m:r>
                <m:t>p</m:t>
              </m:r>
              <m:r>
                <m:t>a</m:t>
              </m:r>
              <m:r>
                <m:t>r</m:t>
              </m:r>
              <m:r>
                <m:t>k</m:t>
              </m:r>
              <m:r>
                <m:t> </m:t>
              </m:r>
            </m:oMath>
            <w:r>
              <w:t xml:space="preserve">150M potential exposure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CHRW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CHRW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-4.5% (FOLLOW-THROUGH)</w:t>
            </w:r>
          </w:p>
        </w:tc>
        <w:tc>
          <w:tcPr/>
          <w:p>
            <w:pPr>
              <w:pStyle w:val="Compact"/>
            </w:pPr>
            <w:r>
              <w:t xml:space="preserve">Even with a likely Q2 EPS/revenue beat, management reiterating the ~$6 FY26 EPS target (vs. $6.08-6.09 consensus) is an implicit downward revision that analysts will formalize over the following days; combined with NAST gross-margin compression from accelerating spot-rate cost inflation (17%→~19% guided) and unresolved litigation/insurance-reserve overhang from the Dallas verdict, sell-side estimate cuts and target-price trims (already begun with Baird) should extend the initial negative reaction rather than let it fade, producing continued idiosyncratic underperformance through the week.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2026-07-29T01:46:26Z</dcterms:created>
  <dcterms:modified xsi:type="dcterms:W3CDTF">2026-07-29T01:46:26Z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