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now have enough information to write a comprehensive earnings preview. Let me pull together the FY2026 guidance details from the Q1 call and finalize.Now I have a comprehensive picture. Let me write the earnings preview.I have enough to write a thorough, well-sourced preview now.# C.H. Robinson Worldwide (CHRW) — Q2 2026 Earnings Preview</w:t>
      </w:r>
      <w:r>
        <w:t xml:space="preserve"> </w:t>
      </w:r>
      <w:r>
        <w:rPr>
          <w:b/>
          <w:bCs/>
        </w:rPr>
        <w:t xml:space="preserve">Reports: Wednesday, July 29, 2026, after market close | Conference call to follow</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CHRW enters this print in an unusually turbulent spot. The stock had rallied to a</w:t>
      </w:r>
      <w:r>
        <w:t xml:space="preserve"> </w:t>
      </w:r>
      <w:r>
        <w:rPr>
          <w:b/>
          <w:bCs/>
        </w:rPr>
        <w:t xml:space="preserve">52-week high of</w:t>
      </w:r>
      <w:r>
        <w:rPr>
          <w:b/>
          <w:bCs/>
        </w:rPr>
        <w:t xml:space="preserve"> </w:t>
      </w:r>
      <m:oMath>
        <m:r>
          <m:t>210.33</m:t>
        </m:r>
        <m:r>
          <m:rPr>
            <m:sty m:val="p"/>
          </m:rPr>
          <m:t>*</m:t>
        </m:r>
        <m:r>
          <m:rPr>
            <m:sty m:val="p"/>
          </m:rPr>
          <m:t>*</m:t>
        </m:r>
        <m:r>
          <m:t>i</m:t>
        </m:r>
        <m:r>
          <m:t>n</m:t>
        </m:r>
        <m:r>
          <m:t>m</m:t>
        </m:r>
        <m:r>
          <m:t>i</m:t>
        </m:r>
        <m:r>
          <m:t>d</m:t>
        </m:r>
        <m:r>
          <m:rPr>
            <m:sty m:val="p"/>
          </m:rPr>
          <m:t>−</m:t>
        </m:r>
        <m:r>
          <m:t>J</m:t>
        </m:r>
        <m:r>
          <m:t>u</m:t>
        </m:r>
        <m:r>
          <m:t>l</m:t>
        </m:r>
        <m:r>
          <m:t>y</m:t>
        </m:r>
        <m:r>
          <m:t>o</m:t>
        </m:r>
        <m:r>
          <m:t>n</m:t>
        </m:r>
        <m:r>
          <m:t>t</m:t>
        </m:r>
        <m:r>
          <m:t>h</m:t>
        </m:r>
        <m:r>
          <m:t>e</m:t>
        </m:r>
        <m:r>
          <m:t>b</m:t>
        </m:r>
        <m:r>
          <m:t>a</m:t>
        </m:r>
        <m:r>
          <m:t>c</m:t>
        </m:r>
        <m:r>
          <m:t>k</m:t>
        </m:r>
        <m:r>
          <m:t>o</m:t>
        </m:r>
        <m:r>
          <m:t>f</m:t>
        </m:r>
        <m:r>
          <m:t>t</m:t>
        </m:r>
        <m:r>
          <m:t>w</m:t>
        </m:r>
        <m:r>
          <m:t>o</m:t>
        </m:r>
        <m:r>
          <m:t>y</m:t>
        </m:r>
        <m:r>
          <m:t>e</m:t>
        </m:r>
        <m:r>
          <m:t>a</m:t>
        </m:r>
        <m:r>
          <m:t>r</m:t>
        </m:r>
        <m:r>
          <m:t>s</m:t>
        </m:r>
        <m:r>
          <m:t>o</m:t>
        </m:r>
        <m:r>
          <m:t>f</m:t>
        </m:r>
        <m:r>
          <m:t>c</m:t>
        </m:r>
        <m:r>
          <m:t>o</m:t>
        </m:r>
        <m:r>
          <m:t>n</m:t>
        </m:r>
        <m:r>
          <m:t>s</m:t>
        </m:r>
        <m:r>
          <m:t>i</m:t>
        </m:r>
        <m:r>
          <m:t>s</m:t>
        </m:r>
        <m:r>
          <m:t>t</m:t>
        </m:r>
        <m:r>
          <m:t>e</m:t>
        </m:r>
        <m:r>
          <m:t>n</m:t>
        </m:r>
        <m:r>
          <m:t>t</m:t>
        </m:r>
        <m:r>
          <m:t>e</m:t>
        </m:r>
        <m:r>
          <m:t>a</m:t>
        </m:r>
        <m:r>
          <m:t>r</m:t>
        </m:r>
        <m:r>
          <m:t>n</m:t>
        </m:r>
        <m:r>
          <m:t>i</m:t>
        </m:r>
        <m:r>
          <m:t>n</m:t>
        </m:r>
        <m:r>
          <m:t>g</m:t>
        </m:r>
        <m:r>
          <m:t>s</m:t>
        </m:r>
        <m:r>
          <m:t>b</m:t>
        </m:r>
        <m:r>
          <m:t>e</m:t>
        </m:r>
        <m:r>
          <m:t>a</m:t>
        </m:r>
        <m:r>
          <m:t>t</m:t>
        </m:r>
        <m:r>
          <m:t>s</m:t>
        </m:r>
        <m:r>
          <m:t>a</m:t>
        </m:r>
        <m:r>
          <m:t>n</m:t>
        </m:r>
        <m:r>
          <m:t>d</m:t>
        </m:r>
        <m:r>
          <m:t>m</m:t>
        </m:r>
        <m:r>
          <m:t>a</m:t>
        </m:r>
        <m:r>
          <m:t>r</m:t>
        </m:r>
        <m:r>
          <m:t>g</m:t>
        </m:r>
        <m:r>
          <m:t>i</m:t>
        </m:r>
        <m:r>
          <m:t>n</m:t>
        </m:r>
        <m:r>
          <m:t>e</m:t>
        </m:r>
        <m:r>
          <m:t>x</m:t>
        </m:r>
        <m:r>
          <m:t>p</m:t>
        </m:r>
        <m:r>
          <m:t>a</m:t>
        </m:r>
        <m:r>
          <m:t>n</m:t>
        </m:r>
        <m:r>
          <m:t>s</m:t>
        </m:r>
        <m:r>
          <m:t>i</m:t>
        </m:r>
        <m:r>
          <m:t>o</m:t>
        </m:r>
        <m:r>
          <m:t>n</m:t>
        </m:r>
        <m:r>
          <m:rPr>
            <m:sty m:val="p"/>
          </m:rPr>
          <m:t>,</m:t>
        </m:r>
        <m:r>
          <m:t>b</m:t>
        </m:r>
        <m:r>
          <m:t>u</m:t>
        </m:r>
        <m:r>
          <m:t>t</m:t>
        </m:r>
        <m:r>
          <m:t>i</m:t>
        </m:r>
        <m:r>
          <m:t>t</m:t>
        </m:r>
        <m:r>
          <m:t>h</m:t>
        </m:r>
        <m:r>
          <m:t>a</m:t>
        </m:r>
        <m:r>
          <m:t>s</m:t>
        </m:r>
        <m:r>
          <m:t>s</m:t>
        </m:r>
        <m:r>
          <m:t>i</m:t>
        </m:r>
        <m:r>
          <m:t>n</m:t>
        </m:r>
        <m:r>
          <m:t>c</m:t>
        </m:r>
        <m:r>
          <m:t>e</m:t>
        </m:r>
        <m:r>
          <m:t>g</m:t>
        </m:r>
        <m:r>
          <m:t>i</m:t>
        </m:r>
        <m:r>
          <m:t>v</m:t>
        </m:r>
        <m:r>
          <m:t>e</m:t>
        </m:r>
        <m:r>
          <m:t>n</m:t>
        </m:r>
        <m:r>
          <m:t>b</m:t>
        </m:r>
        <m:r>
          <m:t>a</m:t>
        </m:r>
        <m:r>
          <m:t>c</m:t>
        </m:r>
        <m:r>
          <m:t>k</m:t>
        </m:r>
        <m:r>
          <m:t>n</m:t>
        </m:r>
        <m:r>
          <m:t>e</m:t>
        </m:r>
        <m:r>
          <m:t>a</m:t>
        </m:r>
        <m:r>
          <m:t>r</m:t>
        </m:r>
        <m:r>
          <m:t>l</m:t>
        </m:r>
        <m:r>
          <m:t>y</m:t>
        </m:r>
        <m:r>
          <m:t>a</m:t>
        </m:r>
        <m:r>
          <m:t>l</m:t>
        </m:r>
        <m:r>
          <m:t>l</m:t>
        </m:r>
        <m:r>
          <m:t>o</m:t>
        </m:r>
        <m:r>
          <m:t>f</m:t>
        </m:r>
        <m:r>
          <m:t>t</m:t>
        </m:r>
        <m:r>
          <m:t>h</m:t>
        </m:r>
        <m:r>
          <m:t>e</m:t>
        </m:r>
        <m:r>
          <m:t>g</m:t>
        </m:r>
        <m:r>
          <m:t>a</m:t>
        </m:r>
        <m:r>
          <m:t>i</m:t>
        </m:r>
        <m:r>
          <m:t>n</m:t>
        </m:r>
        <m:r>
          <m:rPr>
            <m:sty m:val="p"/>
          </m:rPr>
          <m:t>—</m:t>
        </m:r>
        <m:r>
          <m:t>c</m:t>
        </m:r>
        <m:r>
          <m:t>l</m:t>
        </m:r>
        <m:r>
          <m:t>o</m:t>
        </m:r>
        <m:r>
          <m:t>s</m:t>
        </m:r>
        <m:r>
          <m:t>i</m:t>
        </m:r>
        <m:r>
          <m:t>n</m:t>
        </m:r>
        <m:r>
          <m:t>g</m:t>
        </m:r>
        <m:r>
          <m:t>a</m:t>
        </m:r>
        <m:r>
          <m:t>t</m:t>
        </m:r>
        <m:r>
          <m:rPr>
            <m:sty m:val="p"/>
          </m:rPr>
          <m:t>*</m:t>
        </m:r>
        <m:r>
          <m:rPr>
            <m:sty m:val="p"/>
          </m:rPr>
          <m:t>*</m:t>
        </m:r>
      </m:oMath>
      <w:r>
        <w:rPr>
          <w:b/>
          <w:bCs/>
        </w:rPr>
        <w:t xml:space="preserve">169.37 on July 28</w:t>
      </w:r>
      <w:r>
        <w:t xml:space="preserve">, down roughly 17% in the four trading sessions since July 23. The proximate cause was a bombshell legal development rather than anything operational (more below), which means this earnings report now carries dual significance: investors need to know whether the underlying freight-brokerage business is still executing,</w:t>
      </w:r>
      <w:r>
        <w:t xml:space="preserve"> </w:t>
      </w:r>
      <w:r>
        <w:rPr>
          <w:i/>
          <w:iCs/>
        </w:rPr>
        <w:t xml:space="preserve">and</w:t>
      </w:r>
      <w:r>
        <w:t xml:space="preserve"> </w:t>
      </w:r>
      <w:r>
        <w:t xml:space="preserve">they need any incremental color management can offer on litigation exposure.</w:t>
      </w:r>
    </w:p>
    <w:bookmarkEnd w:id="9"/>
    <w:bookmarkStart w:id="10" w:name="what-wall-street-expects"/>
    <w:p>
      <w:pPr>
        <w:pStyle w:val="Heading2"/>
      </w:pPr>
      <w:r>
        <w:t xml:space="preserve">What Wall Street Expects</w:t>
      </w:r>
    </w:p>
    <w:p>
      <w:pPr>
        <w:pStyle w:val="Compact"/>
        <w:numPr>
          <w:ilvl w:val="0"/>
          <w:numId w:val="1001"/>
        </w:numPr>
      </w:pPr>
      <w:r>
        <w:rPr>
          <w:b/>
          <w:bCs/>
        </w:rPr>
        <w:t xml:space="preserve">EPS:</w:t>
      </w:r>
      <w:r>
        <w:t xml:space="preserve"> </w:t>
      </w:r>
      <w:r>
        <w:t xml:space="preserve">Consensus sits at</w:t>
      </w:r>
      <w:r>
        <w:t xml:space="preserve"> </w:t>
      </w:r>
      <w:r>
        <w:rPr>
          <w:b/>
          <w:bCs/>
        </w:rPr>
        <w:t xml:space="preserve">$1.51</w:t>
      </w:r>
      <w:r>
        <w:t xml:space="preserve"> </w:t>
      </w:r>
      <w:r>
        <w:t xml:space="preserve">(some data providers show $1.49), which would be up</w:t>
      </w:r>
      <w:r>
        <w:t xml:space="preserve"> </w:t>
      </w:r>
      <w:r>
        <w:rPr>
          <w:b/>
          <w:bCs/>
        </w:rPr>
        <w:t xml:space="preserve">~17%</w:t>
      </w:r>
      <w:r>
        <w:t xml:space="preserve"> </w:t>
      </w:r>
      <w:r>
        <w:t xml:space="preserve">year-over-year from $1.29 in Q2 2025.</w:t>
      </w:r>
    </w:p>
    <w:p>
      <w:pPr>
        <w:pStyle w:val="Compact"/>
        <w:numPr>
          <w:ilvl w:val="0"/>
          <w:numId w:val="1001"/>
        </w:numPr>
      </w:pPr>
      <w:r>
        <w:rPr>
          <w:b/>
          <w:bCs/>
        </w:rPr>
        <w:t xml:space="preserve">Revenue:</w:t>
      </w:r>
      <w:r>
        <w:t xml:space="preserve"> </w:t>
      </w:r>
      <w:r>
        <w:t xml:space="preserve">Consensus is roughly</w:t>
      </w:r>
      <w:r>
        <w:t xml:space="preserve"> </w:t>
      </w:r>
      <w:r>
        <w:rPr>
          <w:b/>
          <w:bCs/>
        </w:rPr>
        <w:t xml:space="preserve">$4.34–4.37 billion</w:t>
      </w:r>
      <w:r>
        <w:t xml:space="preserve">, implying growth of about</w:t>
      </w:r>
      <w:r>
        <w:t xml:space="preserve"> </w:t>
      </w:r>
      <w:r>
        <w:rPr>
          <w:b/>
          <w:bCs/>
        </w:rPr>
        <w:t xml:space="preserve">5.6–5.9%</w:t>
      </w:r>
      <w:r>
        <w:t xml:space="preserve"> </w:t>
      </w:r>
      <w:r>
        <w:t xml:space="preserve">year-over-year — a reversal from the 7.7% revenue decline CHRW posted in the year-ago quarter.</w:t>
      </w:r>
    </w:p>
    <w:p>
      <w:pPr>
        <w:pStyle w:val="Compact"/>
        <w:numPr>
          <w:ilvl w:val="0"/>
          <w:numId w:val="1001"/>
        </w:numPr>
      </w:pPr>
      <w:r>
        <w:rPr>
          <w:b/>
          <w:bCs/>
        </w:rPr>
        <w:t xml:space="preserve">Segment expectations:</w:t>
      </w:r>
      <w:r>
        <w:t xml:space="preserve"> </w:t>
      </w:r>
      <w:r>
        <w:t xml:space="preserve">The Zacks Consensus Estimate for second-quarter 2026 North American Surface Transportation revenues is pegged at $3.07 billion, indicating a 5.1% increase from the year-ago reported figure. The Zacks Consensus Estimate for Global Forwarding's second-quarter 2026 revenues is pegged at $786.04 million, indicating a 1.5% decrease from the year-ago reported figure.</w:t>
      </w:r>
    </w:p>
    <w:p>
      <w:pPr>
        <w:pStyle w:val="Compact"/>
        <w:numPr>
          <w:ilvl w:val="0"/>
          <w:numId w:val="1001"/>
        </w:numPr>
      </w:pPr>
      <w:r>
        <w:rPr>
          <w:b/>
          <w:bCs/>
        </w:rPr>
        <w:t xml:space="preserve">Track record:</w:t>
      </w:r>
      <w:r>
        <w:t xml:space="preserve"> </w:t>
      </w:r>
      <w:r>
        <w:t xml:space="preserve">C.H. Robinson has an encouraging earnings surprise history. The company's earnings have outpaced the Zacks Consensus Estimate in each of the trailing four quarters, delivering an average beat of 9.37%. Notably, however, one recent report flagged that the most accurate analyst estimate was tracking below the consensus, producing a negative Earnings ESP heading into the release — a mild yellow flag against the otherwise strong beat history.</w:t>
      </w:r>
    </w:p>
    <w:p>
      <w:pPr>
        <w:pStyle w:val="Compact"/>
        <w:numPr>
          <w:ilvl w:val="0"/>
          <w:numId w:val="1001"/>
        </w:numPr>
      </w:pPr>
      <w:r>
        <w:rPr>
          <w:b/>
          <w:bCs/>
        </w:rPr>
        <w:t xml:space="preserve">Full-year:</w:t>
      </w:r>
      <w:r>
        <w:t xml:space="preserve"> </w:t>
      </w:r>
      <w:r>
        <w:t xml:space="preserve">Analysts model</w:t>
      </w:r>
      <w:r>
        <w:t xml:space="preserve"> </w:t>
      </w:r>
      <w:r>
        <w:rPr>
          <w:b/>
          <w:bCs/>
        </w:rPr>
        <w:t xml:space="preserve">FY2026 EPS of roughly $6.08–6.09</w:t>
      </w:r>
      <w:r>
        <w:t xml:space="preserve"> </w:t>
      </w:r>
      <w:r>
        <w:t xml:space="preserve">(about +19.5–19.7% y/y), which aligns with management's own reaffirmed target (see below).</w:t>
      </w:r>
    </w:p>
    <w:bookmarkEnd w:id="10"/>
    <w:bookmarkStart w:id="11" w:name="Xbda71158479bbeb93bb6f0723ebd2887692b663"/>
    <w:p>
      <w:pPr>
        <w:pStyle w:val="Heading2"/>
      </w:pPr>
      <w:r>
        <w:t xml:space="preserve">Q1 2026 Recap — The Business Was Executing Well</w:t>
      </w:r>
    </w:p>
    <w:p>
      <w:pPr>
        <w:pStyle w:val="FirstParagraph"/>
      </w:pPr>
      <w:r>
        <w:t xml:space="preserve">Heading into this print, the operating story had been quite good. In Q1, C.H. Robinson's adjusted earnings per share increased 15% year-over-year despite a significant increase in truckload spot market costs, driven by opportunistically capturing transactional volumes at higher margins as the industry's tender rejection rates increased, continuing to exercise disciplined revenue management practices, repricing some contractual business in a targeted fashion, and continuing to widen its cost of hire advantage. NAST gross margin held at 14.6% despite a ~19% y/y jump in spot truckload costs, and the company gained market share in its NAST business for the 12th consecutive quarter.</w:t>
      </w:r>
    </w:p>
    <w:p>
      <w:pPr>
        <w:pStyle w:val="BodyText"/>
      </w:pPr>
      <w:r>
        <w:t xml:space="preserve">Importantly, management raised its full-year spot-rate assumption mid-quarter: Truckload spot rates are expected to remain elevated, and we're now expecting a 17% year-over-year increase in dry van spot rates for the full year, up from 8% only 3 months ago. Despite that headwind, CFO Damon Lee reiterated confidence in guidance on the Q1 call: we feel very good about our Investor Day update, so the $6 EPS with no market growth... we have a very high degree of confidence in our $6 EPS target. Productivity gains (double-digit for the year) were explicitly guided to be</w:t>
      </w:r>
      <w:r>
        <w:t xml:space="preserve"> </w:t>
      </w:r>
      <w:r>
        <w:rPr>
          <w:b/>
          <w:bCs/>
        </w:rPr>
        <w:t xml:space="preserve">back-half weighted</w:t>
      </w:r>
      <w:r>
        <w:t xml:space="preserve">, alongside sequential declines in personnel expense — a key model input investors should watch for confirmation of in Q2/Q3 commentary.</w:t>
      </w:r>
    </w:p>
    <w:p>
      <w:pPr>
        <w:pStyle w:val="BodyText"/>
      </w:pPr>
      <w:r>
        <w:t xml:space="preserve">Capital returns have also been robust: CHRW returned approximately $360 million of cash to shareholders in Q1, more than twofold Q1 of last year, including $280.7 million of share repurchases and $79 million of dividends, while net debt/EBITDA rose modestly to 1.32x from 1.03x — still well within investment-grade discipline.</w:t>
      </w:r>
    </w:p>
    <w:bookmarkEnd w:id="11"/>
    <w:bookmarkStart w:id="12" w:name="Xcf1cb062a4832bf417792f7beddddce8d3e29ea"/>
    <w:p>
      <w:pPr>
        <w:pStyle w:val="Heading2"/>
      </w:pPr>
      <w:r>
        <w:t xml:space="preserve">The Overhang: A $604 Million Jury Verdict Changes the Calculus</w:t>
      </w:r>
    </w:p>
    <w:p>
      <w:pPr>
        <w:pStyle w:val="FirstParagraph"/>
      </w:pPr>
      <w:r>
        <w:t xml:space="preserve">The single biggest issue for this quarter's report — and for the stock generally — is</w:t>
      </w:r>
      <w:r>
        <w:t xml:space="preserve"> </w:t>
      </w:r>
      <w:r>
        <w:rPr>
          <w:b/>
          <w:bCs/>
        </w:rPr>
        <w:t xml:space="preserve">not</w:t>
      </w:r>
      <w:r>
        <w:t xml:space="preserve"> </w:t>
      </w:r>
      <w:r>
        <w:t xml:space="preserve">freight volumes or margins. On July 23, 2026, a jury in Dallas County, Texas issued an advisory verdict against C.H. Robinson Worldwide, Inc. and two other defendants in a lawsuit related to a trucking accident involving an independent motor carrier. The verdict awarded compensatory damages of $604 million, which could be assessed against the Company. Robinson has pushed back: the advisory verdict remains subject to post-trial proceedings before the court enters a final verdict, and the Company disagrees with the jury's advisory verdict and expects to appeal if the jury's verdict is entered as final.</w:t>
      </w:r>
    </w:p>
    <w:p>
      <w:pPr>
        <w:pStyle w:val="BodyText"/>
      </w:pPr>
      <w:r>
        <w:t xml:space="preserve">Context matters enormously here. The case is the first major test of broker liability since the U.S. Supreme Court's May 2026 ruling in</w:t>
      </w:r>
      <w:r>
        <w:t xml:space="preserve"> </w:t>
      </w:r>
      <w:r>
        <w:rPr>
          <w:i/>
          <w:iCs/>
        </w:rPr>
        <w:t xml:space="preserve">Montgomery v. Caribe Transport II</w:t>
      </w:r>
      <w:r>
        <w:t xml:space="preserve">, in which CHRW itself was the original named defendant. A unanimous Supreme Court ruled that federal law does not shield freight brokers from state lawsuits claiming they negligently hired dangerous motor carriers, stripping away the preemption defense brokers had long relied on. As one industry report framed the Dallas verdict: "C.H. Robinson faces the first post-Montgomery ruling nuclear verdict... We view this as a negative for brokers." The underlying case involved a group of plaintiffs who sued several companies and individuals connected to a 2021 crash that killed three people and the employee driver of carrier Lupus Superior, which was hired by C.H. Robinson.</w:t>
      </w:r>
    </w:p>
    <w:p>
      <w:pPr>
        <w:pStyle w:val="BodyText"/>
      </w:pPr>
      <w:r>
        <w:t xml:space="preserve">Sell-side reaction has been to trim price targets rather than change ratings outright — e.g., Baird cut its target to $200 (from $230) while keeping Outperform, and Bank of America characterized the situation as an early step in a long process, not a final liability determination. Peer broker RXO also traded down sharply in sympathy, underscoring this is viewed as an industry-wide read-through, not CHRW-idiosyncratic.</w:t>
      </w:r>
    </w:p>
    <w:p>
      <w:pPr>
        <w:pStyle w:val="BodyText"/>
      </w:pPr>
      <w:r>
        <w:rPr>
          <w:b/>
          <w:bCs/>
        </w:rPr>
        <w:t xml:space="preserve">What to listen for on the call:</w:t>
      </w:r>
    </w:p>
    <w:p>
      <w:pPr>
        <w:pStyle w:val="Compact"/>
        <w:numPr>
          <w:ilvl w:val="0"/>
          <w:numId w:val="1002"/>
        </w:numPr>
      </w:pPr>
      <w:r>
        <w:t xml:space="preserve">Any updated disclosure on insurance coverage layers, self-insured retention, and expected timeline for post-trial motions/appeal.</w:t>
      </w:r>
    </w:p>
    <w:p>
      <w:pPr>
        <w:pStyle w:val="Compact"/>
        <w:numPr>
          <w:ilvl w:val="0"/>
          <w:numId w:val="1002"/>
        </w:numPr>
      </w:pPr>
      <w:r>
        <w:t xml:space="preserve">Whether management provides a loss-contingency estimate or continues to treat this as non-estimable/immaterial for GAAP purposes.</w:t>
      </w:r>
    </w:p>
    <w:p>
      <w:pPr>
        <w:pStyle w:val="Compact"/>
        <w:numPr>
          <w:ilvl w:val="0"/>
          <w:numId w:val="1002"/>
        </w:numPr>
      </w:pPr>
      <w:r>
        <w:t xml:space="preserve">Commentary on how the post-</w:t>
      </w:r>
      <w:r>
        <w:rPr>
          <w:i/>
          <w:iCs/>
        </w:rPr>
        <w:t xml:space="preserve">Montgomery</w:t>
      </w:r>
      <w:r>
        <w:t xml:space="preserve"> </w:t>
      </w:r>
      <w:r>
        <w:t xml:space="preserve">legal landscape might affect carrier vetting costs, insurance premiums industry-wide, and whether CHRW's scale becomes a competitive advantage (smaller brokers may be squeezed out or face insurance cost spikes) — a theme management previewed on the Q1 call when CEO Dave Bozeman noted the company has "a playbook" for either outcome and framed scale/financial strength as a differentiator in adverse scenarios.</w:t>
      </w:r>
    </w:p>
    <w:p>
      <w:pPr>
        <w:pStyle w:val="Compact"/>
        <w:numPr>
          <w:ilvl w:val="0"/>
          <w:numId w:val="1002"/>
        </w:numPr>
      </w:pPr>
      <w:r>
        <w:t xml:space="preserve">Any changes to capital return pace (buybacks) given the stock's pullback — management has shown willingness to lean into weakness previously.</w:t>
      </w:r>
    </w:p>
    <w:bookmarkEnd w:id="12"/>
    <w:bookmarkStart w:id="13" w:name="freight-market-backdrop"/>
    <w:p>
      <w:pPr>
        <w:pStyle w:val="Heading2"/>
      </w:pPr>
      <w:r>
        <w:t xml:space="preserve">Freight Market Backdrop</w:t>
      </w:r>
    </w:p>
    <w:p>
      <w:pPr>
        <w:pStyle w:val="FirstParagraph"/>
      </w:pPr>
      <w:r>
        <w:t xml:space="preserve">The freight cycle context remains a genuine tailwind/headwind duality: dry van spot rates are running well above plan (17% y/y guided for FY26, up from 8% guided just a quarter earlier), which pressures brokerage gross margin percentage (though less so gross profit dollars) while also creating share-gain opportunities for disciplined players who can reprice quickly. Watch for:</w:t>
      </w:r>
    </w:p>
    <w:p>
      <w:pPr>
        <w:pStyle w:val="Compact"/>
        <w:numPr>
          <w:ilvl w:val="0"/>
          <w:numId w:val="1003"/>
        </w:numPr>
      </w:pPr>
      <w:r>
        <w:t xml:space="preserve">NAST gross margin trend (was 14.6% in Q1) and truckload/LTL volume growth relative to the Cass Freight Index (CHRW has outgrown it for 12 straight quarters).</w:t>
      </w:r>
    </w:p>
    <w:p>
      <w:pPr>
        <w:pStyle w:val="Compact"/>
        <w:numPr>
          <w:ilvl w:val="0"/>
          <w:numId w:val="1003"/>
        </w:numPr>
      </w:pPr>
      <w:r>
        <w:t xml:space="preserve">Global Forwarding trends — ocean rates have been declining on excess vessel capacity, and Middle East-driven disruption has had limited direct impact on CHRW's book per management.</w:t>
      </w:r>
    </w:p>
    <w:p>
      <w:pPr>
        <w:pStyle w:val="Compact"/>
        <w:numPr>
          <w:ilvl w:val="0"/>
          <w:numId w:val="1003"/>
        </w:numPr>
      </w:pPr>
      <w:r>
        <w:t xml:space="preserve">Any update on the DeSpir Logistics acquisition (announced June 2026), which expands CHRW's high-value/secure freight capabilities.</w:t>
      </w:r>
    </w:p>
    <w:bookmarkEnd w:id="13"/>
    <w:bookmarkStart w:id="14" w:name="valuation-and-positioning"/>
    <w:p>
      <w:pPr>
        <w:pStyle w:val="Heading2"/>
      </w:pPr>
      <w:r>
        <w:t xml:space="preserve">Valuation and Positioning</w:t>
      </w:r>
    </w:p>
    <w:p>
      <w:pPr>
        <w:pStyle w:val="FirstParagraph"/>
      </w:pPr>
      <w:r>
        <w:t xml:space="preserve">Even after the recent drop, CHRW trades at a premium multiple (~38-42x trailing/forward earnings pre-selloff) reflecting its multi-year track record of margin expansion via the "Lean AI" productivity program. The stock carries a</w:t>
      </w:r>
      <w:r>
        <w:t xml:space="preserve"> </w:t>
      </w:r>
      <w:r>
        <w:rPr>
          <w:b/>
          <w:bCs/>
        </w:rPr>
        <w:t xml:space="preserve">"Moderate Buy"</w:t>
      </w:r>
      <w:r>
        <w:t xml:space="preserve"> </w:t>
      </w:r>
      <w:r>
        <w:t xml:space="preserve">consensus (roughly 15-16 Strong Buy, 1 Moderate Buy, 8 Hold, 1 Sell/Moderate Sell across ~25-26 analysts) with an average price target around</w:t>
      </w:r>
      <w:r>
        <w:t xml:space="preserve"> </w:t>
      </w:r>
      <w:r>
        <w:rPr>
          <w:b/>
          <w:bCs/>
        </w:rPr>
        <w:t xml:space="preserve">$198-202</w:t>
      </w:r>
      <w:r>
        <w:t xml:space="preserve"> </w:t>
      </w:r>
      <w:r>
        <w:t xml:space="preserve">— well above the current price near $169-176, implying the market has priced in meaningful tail-risk discount from the verdict news that analysts have not yet fully matched with target cuts.</w:t>
      </w:r>
    </w:p>
    <w:bookmarkEnd w:id="14"/>
    <w:bookmarkStart w:id="15" w:name="bottom-line-for-investors"/>
    <w:p>
      <w:pPr>
        <w:pStyle w:val="Heading2"/>
      </w:pPr>
      <w:r>
        <w:t xml:space="preserve">Bottom Line for Investors</w:t>
      </w:r>
    </w:p>
    <w:p>
      <w:pPr>
        <w:pStyle w:val="FirstParagraph"/>
      </w:pPr>
      <w:r>
        <w:t xml:space="preserve">This is a bifurcated setup. On the operating side, CHRW has a strong, well-documented history of outperforming freight-market conditions through revenue management discipline and AI-driven productivity, and consensus expects another beat-and-raise-style quarter (EPS +17% y/y) with FY26 guidance of ~$6/share reaffirmed as of Q1. On the risk side, the July 23 Dallas verdict is a genuine wildcard that has nothing to do with quarterly execution but everything to do with the post-</w:t>
      </w:r>
      <w:r>
        <w:rPr>
          <w:i/>
          <w:iCs/>
        </w:rPr>
        <w:t xml:space="preserve">Montgomery</w:t>
      </w:r>
      <w:r>
        <w:t xml:space="preserve"> </w:t>
      </w:r>
      <w:r>
        <w:t xml:space="preserve">legal environment for freight brokers — and it's likely to dominate the Q&amp;A portion of tomorrow's call regardless of how clean the underlying numbers are. Investors should expect the stock's reaction to hinge as much on management's legal/insurance commentary and any updated capital-allocation signal as on the reported EPS/revenue beat itself.</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2026-07-29T01:46:26Z</dcterms:created>
  <dcterms:modified xsi:type="dcterms:W3CDTF">2026-07-29T01:46:26Z</dcterms:modified>
</cp:coreProperties>
</file>

<file path=docProps/custom.xml><?xml version="1.0" encoding="utf-8"?>
<Properties xmlns="http://schemas.openxmlformats.org/officeDocument/2006/custom-properties" xmlns:vt="http://schemas.openxmlformats.org/officeDocument/2006/docPropsVTypes"/>
</file>