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hrw-earnings-predictions--2026-07-29"/>
    <w:p>
      <w:pPr>
        <w:pStyle w:val="Heading1"/>
      </w:pPr>
      <w:r>
        <w:t xml:space="preserve">CHRW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CHRW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~$1.57 vs. cons $1.53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CHRW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~$4.39B vs. cons $4.37B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CHRW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NAST adjusted operating margin excluding restructuring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~40.6% vs. cons 40.0%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CHRW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 framework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~$6.00 vs. cons $6.12 (FY 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CHRW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Personnel expense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~$1.30B midpoint vs. cons $1.30B (FY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CHRW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CHRW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(FADE)</w:t>
            </w:r>
          </w:p>
        </w:tc>
        <w:tc>
          <w:tcPr/>
          <w:p>
            <w:pPr>
              <w:pStyle w:val="Compact"/>
            </w:pPr>
            <w:r>
              <w:t xml:space="preserve">Initial relief from an EPS beat and resilient NAST margin fades because the ~$6.00 FY2026 framework remains below the $6.12 consensus, implying softer second-half earnings versus Street math, while unresolved $604M litigation and capital-return risk limit multiple expansion.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2026-07-29T01:47:59Z</dcterms:created>
  <dcterms:modified xsi:type="dcterms:W3CDTF">2026-07-29T01:47:59Z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