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eb1e986edacbc849a13d960ba470a53d1eac2d9"/>
    <w:p>
      <w:pPr>
        <w:pStyle w:val="Heading1"/>
      </w:pPr>
      <w:r>
        <w:t xml:space="preserve">C.H. Robinson (CHRW) — 2026 Q2 Earnings Preview</w:t>
      </w:r>
    </w:p>
    <w:p>
      <w:pPr>
        <w:pStyle w:val="BlockText"/>
      </w:pPr>
      <w:r>
        <w:rPr>
          <w:b/>
          <w:bCs/>
        </w:rPr>
        <w:t xml:space="preserve">Timing clarification:</w:t>
      </w:r>
      <w:r>
        <w:t xml:space="preserve"> </w:t>
      </w:r>
      <w:r>
        <w:t xml:space="preserve">C.H. Robinson is scheduled to report</w:t>
      </w:r>
      <w:r>
        <w:t xml:space="preserve"> </w:t>
      </w:r>
      <w:r>
        <w:rPr>
          <w:b/>
          <w:bCs/>
        </w:rPr>
        <w:t xml:space="preserve">today, Wednesday, July 29, 2026, after the market closes</w:t>
      </w:r>
      <w:r>
        <w:t xml:space="preserve">, followed by its earnings call at</w:t>
      </w:r>
      <w:r>
        <w:t xml:space="preserve"> </w:t>
      </w:r>
      <w:r>
        <w:rPr>
          <w:b/>
          <w:bCs/>
        </w:rPr>
        <w:t xml:space="preserve">5:30 p.m. ET</w:t>
      </w:r>
      <w:r>
        <w:t xml:space="preserve">—not tomorrow. (</w:t>
      </w:r>
      <w:hyperlink r:id="rId9">
        <w:r>
          <w:rPr>
            <w:rStyle w:val="Hyperlink"/>
          </w:rPr>
          <w:t xml:space="preserve">investor.chrobinson.com</w:t>
        </w:r>
      </w:hyperlink>
      <w:r>
        <w:t xml:space="preserve">)</w:t>
      </w:r>
    </w:p>
    <w:bookmarkStart w:id="10" w:name="executive-view"/>
    <w:p>
      <w:pPr>
        <w:pStyle w:val="Heading2"/>
      </w:pPr>
      <w:r>
        <w:t xml:space="preserve">Executive view</w:t>
      </w:r>
    </w:p>
    <w:p>
      <w:pPr>
        <w:pStyle w:val="FirstParagraph"/>
      </w:pPr>
      <w:r>
        <w:t xml:space="preserve">This report has two distinct components:</w:t>
      </w:r>
    </w:p>
    <w:p>
      <w:pPr>
        <w:pStyle w:val="Compact"/>
        <w:numPr>
          <w:ilvl w:val="0"/>
          <w:numId w:val="1001"/>
        </w:numPr>
      </w:pPr>
      <w:r>
        <w:rPr>
          <w:b/>
          <w:bCs/>
        </w:rPr>
        <w:t xml:space="preserve">The operating test:</w:t>
      </w:r>
      <w:r>
        <w:t xml:space="preserve"> </w:t>
      </w:r>
      <w:r>
        <w:t xml:space="preserve">Can C.H. Robinson continue expanding earnings while truckload capacity costs rise faster than underlying freight demand?</w:t>
      </w:r>
    </w:p>
    <w:p>
      <w:pPr>
        <w:pStyle w:val="Compact"/>
        <w:numPr>
          <w:ilvl w:val="0"/>
          <w:numId w:val="1001"/>
        </w:numPr>
      </w:pPr>
      <w:r>
        <w:rPr>
          <w:b/>
          <w:bCs/>
        </w:rPr>
        <w:t xml:space="preserve">The legal and balance-sheet test:</w:t>
      </w:r>
      <w:r>
        <w:t xml:space="preserve"> </w:t>
      </w:r>
      <w:r>
        <w:t xml:space="preserve">What does the recent</w:t>
      </w:r>
      <w:r>
        <w:t xml:space="preserve"> </w:t>
      </w:r>
      <w:r>
        <w:rPr>
          <w:b/>
          <w:bCs/>
        </w:rPr>
        <w:t xml:space="preserve">$604 million advisory verdict</w:t>
      </w:r>
      <w:r>
        <w:t xml:space="preserve">, combined with the Supreme Court’s May broker-liability ruling, mean for reserves, insurance, capital returns and the company’s long-term cost structure?</w:t>
      </w:r>
    </w:p>
    <w:p>
      <w:pPr>
        <w:pStyle w:val="FirstParagraph"/>
      </w:pPr>
      <w:r>
        <w:t xml:space="preserve">The core business entered Q2 with considerable momentum. Management has been gaining share, repricing contractual freight more quickly and reducing its cost to serve through automation and headcount productivity. But Q2’s freight environment became more difficult: volumes remained weak while rates rose because of shrinking capacity. That is precisely the environment in which a broker’s contractual margins can be squeezed.</w:t>
      </w:r>
    </w:p>
    <w:p>
      <w:pPr>
        <w:pStyle w:val="BodyText"/>
      </w:pPr>
      <w:r>
        <w:t xml:space="preserve">The recent selloff has reduced expectations, but the shares are not obviously inexpensive if management merely reaffirms its existing 2026 targets. Investors will probably need both</w:t>
      </w:r>
      <w:r>
        <w:t xml:space="preserve"> </w:t>
      </w:r>
      <w:r>
        <w:rPr>
          <w:b/>
          <w:bCs/>
        </w:rPr>
        <w:t xml:space="preserve">clean operating execution and credible legal-risk containment</w:t>
      </w:r>
      <w:r>
        <w:t xml:space="preserve"> </w:t>
      </w:r>
      <w:r>
        <w:t xml:space="preserve">for a favorable reaction.</w:t>
      </w:r>
    </w:p>
    <w:p>
      <w:r>
        <w:pict>
          <v:rect style="width:0;height:1.5pt" o:hralign="center" o:hrstd="t" o:hr="t"/>
        </w:pict>
      </w:r>
    </w:p>
    <w:bookmarkEnd w:id="10"/>
    <w:bookmarkStart w:id="12" w:name="street-expectations"/>
    <w:p>
      <w:pPr>
        <w:pStyle w:val="Heading2"/>
      </w:pPr>
      <w:r>
        <w:t xml:space="preserve">Street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w:t>
            </w:r>
          </w:p>
        </w:tc>
        <w:tc>
          <w:tcPr/>
          <w:p>
            <w:pPr>
              <w:pStyle w:val="Compact"/>
              <w:jc w:val="right"/>
            </w:pPr>
            <w:r>
              <w:t xml:space="preserve">Implied growth</w:t>
            </w:r>
          </w:p>
        </w:tc>
      </w:tr>
      <w:tr>
        <w:tc>
          <w:tcPr/>
          <w:p>
            <w:pPr>
              <w:pStyle w:val="Compact"/>
            </w:pPr>
            <w:r>
              <w:t xml:space="preserve">EPS</w:t>
            </w:r>
          </w:p>
        </w:tc>
        <w:tc>
          <w:tcPr/>
          <w:p>
            <w:pPr>
              <w:pStyle w:val="Compact"/>
              <w:jc w:val="right"/>
            </w:pPr>
            <w:r>
              <w:rPr>
                <w:b/>
                <w:bCs/>
              </w:rPr>
              <w:t xml:space="preserve">$1.53</w:t>
            </w:r>
          </w:p>
        </w:tc>
        <w:tc>
          <w:tcPr/>
          <w:p>
            <w:pPr>
              <w:pStyle w:val="Compact"/>
              <w:jc w:val="right"/>
            </w:pPr>
            <w:r>
              <w:t xml:space="preserve">$1.29 adjusted</w:t>
            </w:r>
          </w:p>
        </w:tc>
        <w:tc>
          <w:tcPr/>
          <w:p>
            <w:pPr>
              <w:pStyle w:val="Compact"/>
              <w:jc w:val="right"/>
            </w:pPr>
            <w:r>
              <w:rPr>
                <w:b/>
                <w:bCs/>
              </w:rPr>
              <w:t xml:space="preserve">~19%</w:t>
            </w:r>
          </w:p>
        </w:tc>
      </w:tr>
      <w:tr>
        <w:tc>
          <w:tcPr/>
          <w:p>
            <w:pPr>
              <w:pStyle w:val="Compact"/>
            </w:pPr>
            <w:r>
              <w:t xml:space="preserve">Revenue</w:t>
            </w:r>
          </w:p>
        </w:tc>
        <w:tc>
          <w:tcPr/>
          <w:p>
            <w:pPr>
              <w:pStyle w:val="Compact"/>
              <w:jc w:val="right"/>
            </w:pPr>
            <w:r>
              <w:rPr>
                <w:b/>
                <w:bCs/>
              </w:rPr>
              <w:t xml:space="preserve">$4.35B</w:t>
            </w:r>
          </w:p>
        </w:tc>
        <w:tc>
          <w:tcPr/>
          <w:p>
            <w:pPr>
              <w:pStyle w:val="Compact"/>
              <w:jc w:val="right"/>
            </w:pPr>
            <w:r>
              <w:t xml:space="preserve">$4.14B</w:t>
            </w:r>
          </w:p>
        </w:tc>
        <w:tc>
          <w:tcPr/>
          <w:p>
            <w:pPr>
              <w:pStyle w:val="Compact"/>
              <w:jc w:val="right"/>
            </w:pPr>
            <w:r>
              <w:rPr>
                <w:b/>
                <w:bCs/>
              </w:rPr>
              <w:t xml:space="preserve">~5%</w:t>
            </w:r>
          </w:p>
        </w:tc>
      </w:tr>
    </w:tbl>
    <w:p>
      <w:pPr>
        <w:pStyle w:val="BodyText"/>
      </w:pPr>
      <w:r>
        <w:t xml:space="preserve">Consensus varies slightly by data provider, with most estimates clustered around</w:t>
      </w:r>
      <w:r>
        <w:t xml:space="preserve"> </w:t>
      </w:r>
      <m:oMath>
        <m:r>
          <m:t>1.53</m:t>
        </m:r>
        <m:r>
          <m:rPr>
            <m:sty m:val="p"/>
          </m:rPr>
          <m:t>–</m:t>
        </m:r>
      </m:oMath>
      <w:r>
        <w:rPr>
          <w:b/>
          <w:bCs/>
        </w:rPr>
        <w:t xml:space="preserve">1.55 of EPS</w:t>
      </w:r>
      <w:r>
        <w:t xml:space="preserve"> </w:t>
      </w:r>
      <w:r>
        <w:t xml:space="preserve">and</w:t>
      </w:r>
      <w:r>
        <w:t xml:space="preserve"> </w:t>
      </w:r>
      <m:oMath>
        <m:r>
          <m:t>4.35</m:t>
        </m:r>
        <m:r>
          <m:rPr>
            <m:sty m:val="p"/>
          </m:rPr>
          <m:t>–</m:t>
        </m:r>
      </m:oMath>
      <w:r>
        <w:rPr>
          <w:b/>
          <w:bCs/>
        </w:rPr>
        <w:t xml:space="preserve">4.41 billion of revenue</w:t>
      </w:r>
      <w:r>
        <w:t xml:space="preserve">. (</w:t>
      </w:r>
      <w:hyperlink r:id="rId11">
        <w:r>
          <w:rPr>
            <w:rStyle w:val="Hyperlink"/>
          </w:rPr>
          <w:t xml:space="preserve">marketbeat.com</w:t>
        </w:r>
      </w:hyperlink>
      <w:r>
        <w:t xml:space="preserve">)</w:t>
      </w:r>
    </w:p>
    <w:p>
      <w:pPr>
        <w:pStyle w:val="BodyText"/>
      </w:pPr>
      <w:r>
        <w:t xml:space="preserve">Revenue is a relatively noisy metric for a freight broker because it moves with purchased transportation costs and fuel surcharges.</w:t>
      </w:r>
      <w:r>
        <w:t xml:space="preserve"> </w:t>
      </w:r>
      <w:r>
        <w:rPr>
          <w:b/>
          <w:bCs/>
        </w:rPr>
        <w:t xml:space="preserve">Adjusted gross profit, operating margin and EPS quality will matter more than the headline revenue comparison.</w:t>
      </w:r>
    </w:p>
    <w:p>
      <w:r>
        <w:pict>
          <v:rect style="width:0;height:1.5pt" o:hralign="center" o:hrstd="t" o:hr="t"/>
        </w:pict>
      </w:r>
    </w:p>
    <w:bookmarkEnd w:id="12"/>
    <w:bookmarkStart w:id="18" w:name="Xa08efbf6cd8761468c769803f50c1ebcb355212"/>
    <w:p>
      <w:pPr>
        <w:pStyle w:val="Heading2"/>
      </w:pPr>
      <w:r>
        <w:t xml:space="preserve">1. The main operating question: Can NAST absorb higher capacity costs?</w:t>
      </w:r>
    </w:p>
    <w:p>
      <w:pPr>
        <w:pStyle w:val="FirstParagraph"/>
      </w:pPr>
      <w:r>
        <w:t xml:space="preserve">North American Surface Transportation, or NAST, remains the central earnings driver.</w:t>
      </w:r>
    </w:p>
    <w:p>
      <w:pPr>
        <w:pStyle w:val="BodyText"/>
      </w:pPr>
      <w:r>
        <w:t xml:space="preserve">In Q1:</w:t>
      </w:r>
    </w:p>
    <w:p>
      <w:pPr>
        <w:pStyle w:val="Compact"/>
        <w:numPr>
          <w:ilvl w:val="0"/>
          <w:numId w:val="1002"/>
        </w:numPr>
      </w:pPr>
      <w:r>
        <w:t xml:space="preserve">NAST volume was flat year over year despite a 6.2% decline in the Cass Freight Shipment Index.</w:t>
      </w:r>
    </w:p>
    <w:p>
      <w:pPr>
        <w:pStyle w:val="Compact"/>
        <w:numPr>
          <w:ilvl w:val="0"/>
          <w:numId w:val="1002"/>
        </w:numPr>
      </w:pPr>
      <w:r>
        <w:t xml:space="preserve">NAST adjusted gross profit increased 3%.</w:t>
      </w:r>
    </w:p>
    <w:p>
      <w:pPr>
        <w:pStyle w:val="Compact"/>
        <w:numPr>
          <w:ilvl w:val="0"/>
          <w:numId w:val="1002"/>
        </w:numPr>
      </w:pPr>
      <w:r>
        <w:t xml:space="preserve">Truckload customer linehaul rates increased approximately 11%, while CHRW’s linehaul costs increased 13%.</w:t>
      </w:r>
    </w:p>
    <w:p>
      <w:pPr>
        <w:pStyle w:val="Compact"/>
        <w:numPr>
          <w:ilvl w:val="0"/>
          <w:numId w:val="1002"/>
        </w:numPr>
      </w:pPr>
      <w:r>
        <w:t xml:space="preserve">Despite that cost inflation, the company maintained a 14.6% NAST gross margin.</w:t>
      </w:r>
    </w:p>
    <w:p>
      <w:pPr>
        <w:pStyle w:val="Compact"/>
        <w:numPr>
          <w:ilvl w:val="0"/>
          <w:numId w:val="1002"/>
        </w:numPr>
      </w:pPr>
      <w:r>
        <w:t xml:space="preserve">NAST’s adjusted operating margin excluding restructuring expanded 310 basis points to 37.4%.</w:t>
      </w:r>
    </w:p>
    <w:p>
      <w:pPr>
        <w:pStyle w:val="FirstParagraph"/>
      </w:pPr>
      <w:r>
        <w:t xml:space="preserve">That was a strong demonstration of management’s improved pricing and load-selection capabilities. Companywide adjusted EPS rose 15% to $1.35 even though adjusted gross profit declined about 2%. (</w:t>
      </w:r>
      <w:hyperlink r:id="rId13">
        <w:r>
          <w:rPr>
            <w:rStyle w:val="Hyperlink"/>
          </w:rPr>
          <w:t xml:space="preserve">investor.chrobinson.com</w:t>
        </w:r>
      </w:hyperlink>
      <w:r>
        <w:t xml:space="preserve">)</w:t>
      </w:r>
    </w:p>
    <w:bookmarkStart w:id="16" w:name="why-q2-may-be-a-harder-test"/>
    <w:p>
      <w:pPr>
        <w:pStyle w:val="Heading3"/>
      </w:pPr>
      <w:r>
        <w:t xml:space="preserve">Why Q2 may be a harder test</w:t>
      </w:r>
    </w:p>
    <w:p>
      <w:pPr>
        <w:pStyle w:val="FirstParagraph"/>
      </w:pPr>
      <w:r>
        <w:t xml:space="preserve">The freight recovery remains</w:t>
      </w:r>
      <w:r>
        <w:t xml:space="preserve"> </w:t>
      </w:r>
      <w:r>
        <w:rPr>
          <w:b/>
          <w:bCs/>
        </w:rPr>
        <w:t xml:space="preserve">supply-led rather than demand-led</w:t>
      </w:r>
      <w:r>
        <w:t xml:space="preserve">. June’s Cass Shipment Index declined 4.1% year over year, while freight expenditures increased 11.2% and the Truckload Linehaul Index rose 5.5%. DAT likewise reported rising spot rates in May despite falling freight volumes, reflecting tighter truck availability rather than better demand. (</w:t>
      </w:r>
      <w:hyperlink r:id="rId14">
        <w:r>
          <w:rPr>
            <w:rStyle w:val="Hyperlink"/>
          </w:rPr>
          <w:t xml:space="preserve">cassinfo.com</w:t>
        </w:r>
      </w:hyperlink>
      <w:r>
        <w:t xml:space="preserve">)</w:t>
      </w:r>
    </w:p>
    <w:p>
      <w:pPr>
        <w:pStyle w:val="BodyText"/>
      </w:pPr>
      <w:r>
        <w:t xml:space="preserve">That creates competing effects for CHRW:</w:t>
      </w:r>
    </w:p>
    <w:p>
      <w:pPr>
        <w:pStyle w:val="BodyText"/>
      </w:pPr>
      <w:r>
        <w:rPr>
          <w:b/>
          <w:bCs/>
        </w:rPr>
        <w:t xml:space="preserve">Positive</w:t>
      </w:r>
    </w:p>
    <w:p>
      <w:pPr>
        <w:pStyle w:val="Compact"/>
        <w:numPr>
          <w:ilvl w:val="0"/>
          <w:numId w:val="1003"/>
        </w:numPr>
      </w:pPr>
      <w:r>
        <w:t xml:space="preserve">Higher tender rejections produce more transactional freight.</w:t>
      </w:r>
    </w:p>
    <w:p>
      <w:pPr>
        <w:pStyle w:val="Compact"/>
        <w:numPr>
          <w:ilvl w:val="0"/>
          <w:numId w:val="1003"/>
        </w:numPr>
      </w:pPr>
      <w:r>
        <w:t xml:space="preserve">Spot opportunities can carry attractive absolute gross profit.</w:t>
      </w:r>
    </w:p>
    <w:p>
      <w:pPr>
        <w:pStyle w:val="Compact"/>
        <w:numPr>
          <w:ilvl w:val="0"/>
          <w:numId w:val="1003"/>
        </w:numPr>
      </w:pPr>
      <w:r>
        <w:t xml:space="preserve">Contractual business can be repriced upward.</w:t>
      </w:r>
    </w:p>
    <w:p>
      <w:pPr>
        <w:pStyle w:val="Compact"/>
        <w:numPr>
          <w:ilvl w:val="0"/>
          <w:numId w:val="1003"/>
        </w:numPr>
      </w:pPr>
      <w:r>
        <w:t xml:space="preserve">CHRW’s scale and carrier network should improve its cost of hire relative to smaller brokers.</w:t>
      </w:r>
    </w:p>
    <w:p>
      <w:pPr>
        <w:pStyle w:val="FirstParagraph"/>
      </w:pPr>
      <w:r>
        <w:rPr>
          <w:b/>
          <w:bCs/>
        </w:rPr>
        <w:t xml:space="preserve">Negative</w:t>
      </w:r>
    </w:p>
    <w:p>
      <w:pPr>
        <w:pStyle w:val="Compact"/>
        <w:numPr>
          <w:ilvl w:val="0"/>
          <w:numId w:val="1004"/>
        </w:numPr>
      </w:pPr>
      <w:r>
        <w:t xml:space="preserve">Capacity costs can reset faster than customer contract rates.</w:t>
      </w:r>
    </w:p>
    <w:p>
      <w:pPr>
        <w:pStyle w:val="Compact"/>
        <w:numPr>
          <w:ilvl w:val="0"/>
          <w:numId w:val="1004"/>
        </w:numPr>
      </w:pPr>
      <w:r>
        <w:t xml:space="preserve">A contract-heavy freight mix creates temporary margin exposure.</w:t>
      </w:r>
    </w:p>
    <w:p>
      <w:pPr>
        <w:pStyle w:val="Compact"/>
        <w:numPr>
          <w:ilvl w:val="0"/>
          <w:numId w:val="1004"/>
        </w:numPr>
      </w:pPr>
      <w:r>
        <w:t xml:space="preserve">Higher fuel surcharges mechanically depress reported gross-margin percentages, even if gross-profit dollars are unaffected.</w:t>
      </w:r>
    </w:p>
    <w:p>
      <w:pPr>
        <w:pStyle w:val="Compact"/>
        <w:numPr>
          <w:ilvl w:val="0"/>
          <w:numId w:val="1004"/>
        </w:numPr>
      </w:pPr>
      <w:r>
        <w:t xml:space="preserve">Weak underlying demand limits the total pool of incremental loads.</w:t>
      </w:r>
    </w:p>
    <w:p>
      <w:pPr>
        <w:pStyle w:val="FirstParagraph"/>
      </w:pPr>
      <w:r>
        <w:t xml:space="preserve">A useful peer warning came from J.B. Hunt: its brokerage business generated strong Q2 volume and revenue growth, but operating income declined as purchased transportation costs increased. That supports the view that</w:t>
      </w:r>
      <w:r>
        <w:t xml:space="preserve"> </w:t>
      </w:r>
      <w:r>
        <w:rPr>
          <w:b/>
          <w:bCs/>
        </w:rPr>
        <w:t xml:space="preserve">volume growth alone will not guarantee better brokerage earnings this quarter</w:t>
      </w:r>
      <w:r>
        <w:t xml:space="preserve">. (</w:t>
      </w:r>
      <w:hyperlink r:id="rId15">
        <w:r>
          <w:rPr>
            <w:rStyle w:val="Hyperlink"/>
          </w:rPr>
          <w:t xml:space="preserve">jbhunt.com</w:t>
        </w:r>
      </w:hyperlink>
      <w:r>
        <w:t xml:space="preserve">)</w:t>
      </w:r>
    </w:p>
    <w:bookmarkEnd w:id="16"/>
    <w:bookmarkStart w:id="17" w:name="numbers-to-prioritize"/>
    <w:p>
      <w:pPr>
        <w:pStyle w:val="Heading3"/>
      </w:pPr>
      <w:r>
        <w:t xml:space="preserve">Numbers to prioritize</w:t>
      </w:r>
    </w:p>
    <w:p>
      <w:pPr>
        <w:pStyle w:val="FirstParagraph"/>
      </w:pPr>
      <w:r>
        <w:t xml:space="preserve">Investors should look beyond total NAST revenue and focus on:</w:t>
      </w:r>
    </w:p>
    <w:p>
      <w:pPr>
        <w:pStyle w:val="Compact"/>
        <w:numPr>
          <w:ilvl w:val="0"/>
          <w:numId w:val="1005"/>
        </w:numPr>
      </w:pPr>
      <w:r>
        <w:rPr>
          <w:b/>
          <w:bCs/>
        </w:rPr>
        <w:t xml:space="preserve">Truckload adjusted gross profit per shipment</w:t>
      </w:r>
    </w:p>
    <w:p>
      <w:pPr>
        <w:pStyle w:val="Compact"/>
        <w:numPr>
          <w:ilvl w:val="0"/>
          <w:numId w:val="1005"/>
        </w:numPr>
      </w:pPr>
      <w:r>
        <w:rPr>
          <w:b/>
          <w:bCs/>
        </w:rPr>
        <w:t xml:space="preserve">Truckload customer-rate growth versus purchased-transportation cost growth</w:t>
      </w:r>
    </w:p>
    <w:p>
      <w:pPr>
        <w:pStyle w:val="Compact"/>
        <w:numPr>
          <w:ilvl w:val="0"/>
          <w:numId w:val="1005"/>
        </w:numPr>
      </w:pPr>
      <w:r>
        <w:rPr>
          <w:b/>
          <w:bCs/>
        </w:rPr>
        <w:t xml:space="preserve">NAST adjusted gross-profit margin</w:t>
      </w:r>
    </w:p>
    <w:p>
      <w:pPr>
        <w:pStyle w:val="Compact"/>
        <w:numPr>
          <w:ilvl w:val="0"/>
          <w:numId w:val="1005"/>
        </w:numPr>
      </w:pPr>
      <w:r>
        <w:rPr>
          <w:b/>
          <w:bCs/>
        </w:rPr>
        <w:t xml:space="preserve">NAST adjusted operating margin</w:t>
      </w:r>
    </w:p>
    <w:p>
      <w:pPr>
        <w:pStyle w:val="Compact"/>
        <w:numPr>
          <w:ilvl w:val="0"/>
          <w:numId w:val="1005"/>
        </w:numPr>
      </w:pPr>
      <w:r>
        <w:rPr>
          <w:b/>
          <w:bCs/>
        </w:rPr>
        <w:t xml:space="preserve">Truckload and LTL volume relative to market indices</w:t>
      </w:r>
    </w:p>
    <w:p>
      <w:pPr>
        <w:pStyle w:val="Compact"/>
        <w:numPr>
          <w:ilvl w:val="0"/>
          <w:numId w:val="1005"/>
        </w:numPr>
      </w:pPr>
      <w:r>
        <w:rPr>
          <w:b/>
          <w:bCs/>
        </w:rPr>
        <w:t xml:space="preserve">Contractual versus transactional freight mix</w:t>
      </w:r>
    </w:p>
    <w:p>
      <w:pPr>
        <w:pStyle w:val="FirstParagraph"/>
      </w:pPr>
      <w:r>
        <w:t xml:space="preserve">A particularly constructive result would be flat-to-higher gross profit per truckload shipment despite another quarter in which carrier costs rose faster than market demand.</w:t>
      </w:r>
    </w:p>
    <w:p>
      <w:r>
        <w:pict>
          <v:rect style="width:0;height:1.5pt" o:hralign="center" o:hrstd="t" o:hr="t"/>
        </w:pict>
      </w:r>
    </w:p>
    <w:bookmarkEnd w:id="17"/>
    <w:bookmarkEnd w:id="18"/>
    <w:bookmarkStart w:id="20" w:name="Xc29df4dffe9c5efb43ab1303a2a2a111a8fc59b"/>
    <w:p>
      <w:pPr>
        <w:pStyle w:val="Heading2"/>
      </w:pPr>
      <w:r>
        <w:t xml:space="preserve">2. Productivity must continue doing the heavy lifting</w:t>
      </w:r>
    </w:p>
    <w:p>
      <w:pPr>
        <w:pStyle w:val="FirstParagraph"/>
      </w:pPr>
      <w:r>
        <w:t xml:space="preserve">CHRW’s transformation thesis rests on decoupling headcount and operating expenses from shipment volume.</w:t>
      </w:r>
    </w:p>
    <w:p>
      <w:pPr>
        <w:pStyle w:val="BodyText"/>
      </w:pPr>
      <w:r>
        <w:t xml:space="preserve">In Q1:</w:t>
      </w:r>
    </w:p>
    <w:p>
      <w:pPr>
        <w:pStyle w:val="Compact"/>
        <w:numPr>
          <w:ilvl w:val="0"/>
          <w:numId w:val="1006"/>
        </w:numPr>
      </w:pPr>
      <w:r>
        <w:t xml:space="preserve">Average company headcount declined 12.3% year over year.</w:t>
      </w:r>
    </w:p>
    <w:p>
      <w:pPr>
        <w:pStyle w:val="Compact"/>
        <w:numPr>
          <w:ilvl w:val="0"/>
          <w:numId w:val="1006"/>
        </w:numPr>
      </w:pPr>
      <w:r>
        <w:t xml:space="preserve">Personnel expense excluding restructuring declined roughly 4%.</w:t>
      </w:r>
    </w:p>
    <w:p>
      <w:pPr>
        <w:pStyle w:val="Compact"/>
        <w:numPr>
          <w:ilvl w:val="0"/>
          <w:numId w:val="1006"/>
        </w:numPr>
      </w:pPr>
      <w:r>
        <w:t xml:space="preserve">SG&amp;A excluding restructuring declined approximately 7%.</w:t>
      </w:r>
    </w:p>
    <w:p>
      <w:pPr>
        <w:pStyle w:val="Compact"/>
        <w:numPr>
          <w:ilvl w:val="0"/>
          <w:numId w:val="1006"/>
        </w:numPr>
      </w:pPr>
      <w:r>
        <w:t xml:space="preserve">Management said shipments per employee per day in NAST had improved by more than 50% since the end of 2022.</w:t>
      </w:r>
    </w:p>
    <w:p>
      <w:pPr>
        <w:pStyle w:val="Compact"/>
        <w:numPr>
          <w:ilvl w:val="0"/>
          <w:numId w:val="1006"/>
        </w:numPr>
      </w:pPr>
      <w:r>
        <w:t xml:space="preserve">Management reiterated expectations for double-digit productivity improvement in both NAST and Global Forwarding during 2026, weighted toward the second half.</w:t>
      </w:r>
    </w:p>
    <w:p>
      <w:pPr>
        <w:pStyle w:val="FirstParagraph"/>
      </w:pPr>
      <w:r>
        <w:t xml:space="preserve">The Q2 report should show whether these savings are truly structural or whether some are being offset by wage inflation, legal expenses and higher technology spending.</w:t>
      </w:r>
    </w:p>
    <w:bookmarkStart w:id="19" w:name="what-would-validate-the-lean-ai-thesis"/>
    <w:p>
      <w:pPr>
        <w:pStyle w:val="Heading3"/>
      </w:pPr>
      <w:r>
        <w:t xml:space="preserve">What would validate the Lean AI thesis</w:t>
      </w:r>
    </w:p>
    <w:p>
      <w:pPr>
        <w:pStyle w:val="Compact"/>
        <w:numPr>
          <w:ilvl w:val="0"/>
          <w:numId w:val="1007"/>
        </w:numPr>
      </w:pPr>
      <w:r>
        <w:t xml:space="preserve">Another double-digit productivity increase</w:t>
      </w:r>
    </w:p>
    <w:p>
      <w:pPr>
        <w:pStyle w:val="Compact"/>
        <w:numPr>
          <w:ilvl w:val="0"/>
          <w:numId w:val="1007"/>
        </w:numPr>
      </w:pPr>
      <w:r>
        <w:t xml:space="preserve">Continued sequential personnel-expense improvement</w:t>
      </w:r>
    </w:p>
    <w:p>
      <w:pPr>
        <w:pStyle w:val="Compact"/>
        <w:numPr>
          <w:ilvl w:val="0"/>
          <w:numId w:val="1007"/>
        </w:numPr>
      </w:pPr>
      <w:r>
        <w:t xml:space="preserve">Stable or improved service levels despite lower staffing</w:t>
      </w:r>
    </w:p>
    <w:p>
      <w:pPr>
        <w:pStyle w:val="Compact"/>
        <w:numPr>
          <w:ilvl w:val="0"/>
          <w:numId w:val="1007"/>
        </w:numPr>
      </w:pPr>
      <w:r>
        <w:t xml:space="preserve">Operating-income growth that exceeds adjusted gross-profit growth</w:t>
      </w:r>
    </w:p>
    <w:p>
      <w:pPr>
        <w:pStyle w:val="Compact"/>
        <w:numPr>
          <w:ilvl w:val="0"/>
          <w:numId w:val="1007"/>
        </w:numPr>
      </w:pPr>
      <w:r>
        <w:t xml:space="preserve">Evidence that Global Forwarding is beginning to realize the same automation benefits already visible in NAST</w:t>
      </w:r>
    </w:p>
    <w:p>
      <w:pPr>
        <w:pStyle w:val="FirstParagraph"/>
      </w:pPr>
      <w:r>
        <w:t xml:space="preserve">The important metric is not the number of AI agents or automated processes announced. It is whether</w:t>
      </w:r>
      <w:r>
        <w:t xml:space="preserve"> </w:t>
      </w:r>
      <w:r>
        <w:rPr>
          <w:b/>
          <w:bCs/>
        </w:rPr>
        <w:t xml:space="preserve">adjusted operating margin expands without sacrificing volume, service or customer retention</w:t>
      </w:r>
      <w:r>
        <w:t xml:space="preserve">.</w:t>
      </w:r>
    </w:p>
    <w:p>
      <w:r>
        <w:pict>
          <v:rect style="width:0;height:1.5pt" o:hralign="center" o:hrstd="t" o:hr="t"/>
        </w:pict>
      </w:r>
    </w:p>
    <w:bookmarkEnd w:id="19"/>
    <w:bookmarkEnd w:id="20"/>
    <w:bookmarkStart w:id="21" w:name="X0bba8300973c6c40028194df7882d769f2a67ed"/>
    <w:p>
      <w:pPr>
        <w:pStyle w:val="Heading2"/>
      </w:pPr>
      <w:r>
        <w:t xml:space="preserve">3. Global Forwarding needs stabilization</w:t>
      </w:r>
    </w:p>
    <w:p>
      <w:pPr>
        <w:pStyle w:val="FirstParagraph"/>
      </w:pPr>
      <w:r>
        <w:t xml:space="preserve">Global Forwarding was the principal weak spot in Q1:</w:t>
      </w:r>
    </w:p>
    <w:p>
      <w:pPr>
        <w:pStyle w:val="Compact"/>
        <w:numPr>
          <w:ilvl w:val="0"/>
          <w:numId w:val="1008"/>
        </w:numPr>
      </w:pPr>
      <w:r>
        <w:t xml:space="preserve">Adjusted gross profit declined 12%.</w:t>
      </w:r>
    </w:p>
    <w:p>
      <w:pPr>
        <w:pStyle w:val="Compact"/>
        <w:numPr>
          <w:ilvl w:val="0"/>
          <w:numId w:val="1008"/>
        </w:numPr>
      </w:pPr>
      <w:r>
        <w:t xml:space="preserve">Ocean adjusted gross profit declined 22%.</w:t>
      </w:r>
    </w:p>
    <w:p>
      <w:pPr>
        <w:pStyle w:val="Compact"/>
        <w:numPr>
          <w:ilvl w:val="0"/>
          <w:numId w:val="1008"/>
        </w:numPr>
      </w:pPr>
      <w:r>
        <w:t xml:space="preserve">Ocean shipments fell 10.5%.</w:t>
      </w:r>
    </w:p>
    <w:p>
      <w:pPr>
        <w:pStyle w:val="Compact"/>
        <w:numPr>
          <w:ilvl w:val="0"/>
          <w:numId w:val="1008"/>
        </w:numPr>
      </w:pPr>
      <w:r>
        <w:t xml:space="preserve">Global Forwarding operating income fell 26%.</w:t>
      </w:r>
    </w:p>
    <w:p>
      <w:pPr>
        <w:pStyle w:val="Compact"/>
        <w:numPr>
          <w:ilvl w:val="0"/>
          <w:numId w:val="1008"/>
        </w:numPr>
      </w:pPr>
      <w:r>
        <w:t xml:space="preserve">Adjusted operating margin excluding restructuring declined to 21.1%.</w:t>
      </w:r>
    </w:p>
    <w:p>
      <w:pPr>
        <w:pStyle w:val="FirstParagraph"/>
      </w:pPr>
      <w:r>
        <w:t xml:space="preserve">Q2 contained considerable ocean-market disruption, including fuel-cost volatility, port congestion and earlier peak-season activity. Those conditions may have supported pricing and gross profit per shipment, but they also create difficult capacity-management and customer-mix effects.</w:t>
      </w:r>
    </w:p>
    <w:p>
      <w:pPr>
        <w:pStyle w:val="BodyText"/>
      </w:pPr>
      <w:r>
        <w:t xml:space="preserve">The minimum acceptable outcome is likely:</w:t>
      </w:r>
    </w:p>
    <w:p>
      <w:pPr>
        <w:pStyle w:val="Compact"/>
        <w:numPr>
          <w:ilvl w:val="0"/>
          <w:numId w:val="1009"/>
        </w:numPr>
      </w:pPr>
      <w:r>
        <w:t xml:space="preserve">Sequential improvement in Global Forwarding adjusted gross profit;</w:t>
      </w:r>
    </w:p>
    <w:p>
      <w:pPr>
        <w:pStyle w:val="Compact"/>
        <w:numPr>
          <w:ilvl w:val="0"/>
          <w:numId w:val="1009"/>
        </w:numPr>
      </w:pPr>
      <w:r>
        <w:t xml:space="preserve">Better ocean yield or gross profit per shipment;</w:t>
      </w:r>
    </w:p>
    <w:p>
      <w:pPr>
        <w:pStyle w:val="Compact"/>
        <w:numPr>
          <w:ilvl w:val="0"/>
          <w:numId w:val="1009"/>
        </w:numPr>
      </w:pPr>
      <w:r>
        <w:t xml:space="preserve">Continued customs growth; and</w:t>
      </w:r>
    </w:p>
    <w:p>
      <w:pPr>
        <w:pStyle w:val="Compact"/>
        <w:numPr>
          <w:ilvl w:val="0"/>
          <w:numId w:val="1009"/>
        </w:numPr>
      </w:pPr>
      <w:r>
        <w:t xml:space="preserve">Evidence that cost reductions are offsetting still-weak ocean volumes.</w:t>
      </w:r>
    </w:p>
    <w:p>
      <w:pPr>
        <w:pStyle w:val="FirstParagraph"/>
      </w:pPr>
      <w:r>
        <w:t xml:space="preserve">A continued double-digit decline in forwarding gross profit would make the company more dependent on NAST pricing and cost cuts to achieve its full-year earnings objective.</w:t>
      </w:r>
    </w:p>
    <w:p>
      <w:r>
        <w:pict>
          <v:rect style="width:0;height:1.5pt" o:hralign="center" o:hrstd="t" o:hr="t"/>
        </w:pict>
      </w:r>
    </w:p>
    <w:bookmarkEnd w:id="21"/>
    <w:bookmarkStart w:id="23" w:name="X00705561d68fdbd672ff11fb0295e62e110d646"/>
    <w:p>
      <w:pPr>
        <w:pStyle w:val="Heading2"/>
      </w:pPr>
      <w:r>
        <w:t xml:space="preserve">4. The $6 EPS framework</w:t>
      </w:r>
    </w:p>
    <w:p>
      <w:pPr>
        <w:pStyle w:val="FirstParagraph"/>
      </w:pPr>
      <w:r>
        <w:t xml:space="preserve">Management entered Q2 with high confidence in its approximately</w:t>
      </w:r>
      <w:r>
        <w:t xml:space="preserve"> </w:t>
      </w:r>
      <w:r>
        <w:rPr>
          <w:b/>
          <w:bCs/>
        </w:rPr>
        <w:t xml:space="preserve">$6 adjusted EPS objective for 2026</w:t>
      </w:r>
      <w:r>
        <w:t xml:space="preserve">, based on no meaningful freight-market growth.</w:t>
      </w:r>
    </w:p>
    <w:p>
      <w:pPr>
        <w:pStyle w:val="BodyText"/>
      </w:pPr>
      <w:r>
        <w:t xml:space="preserve">If CHRW earns the consensus $1.53 in Q2, first-half adjusted EPS would be approximately:</w:t>
      </w:r>
    </w:p>
    <w:p>
      <w:pPr>
        <w:pStyle w:val="Compact"/>
        <w:numPr>
          <w:ilvl w:val="0"/>
          <w:numId w:val="1010"/>
        </w:numPr>
      </w:pPr>
      <w:r>
        <w:t xml:space="preserve">Q1:</w:t>
      </w:r>
      <w:r>
        <w:t xml:space="preserve"> </w:t>
      </w:r>
      <w:r>
        <w:rPr>
          <w:b/>
          <w:bCs/>
        </w:rPr>
        <w:t xml:space="preserve">$1.35</w:t>
      </w:r>
    </w:p>
    <w:p>
      <w:pPr>
        <w:pStyle w:val="Compact"/>
        <w:numPr>
          <w:ilvl w:val="0"/>
          <w:numId w:val="1010"/>
        </w:numPr>
      </w:pPr>
      <w:r>
        <w:t xml:space="preserve">Q2 consensus:</w:t>
      </w:r>
      <w:r>
        <w:t xml:space="preserve"> </w:t>
      </w:r>
      <w:r>
        <w:rPr>
          <w:b/>
          <w:bCs/>
        </w:rPr>
        <w:t xml:space="preserve">$1.53</w:t>
      </w:r>
    </w:p>
    <w:p>
      <w:pPr>
        <w:pStyle w:val="Compact"/>
        <w:numPr>
          <w:ilvl w:val="0"/>
          <w:numId w:val="1010"/>
        </w:numPr>
      </w:pPr>
      <w:r>
        <w:t xml:space="preserve">First half:</w:t>
      </w:r>
      <w:r>
        <w:t xml:space="preserve"> </w:t>
      </w:r>
      <w:r>
        <w:rPr>
          <w:b/>
          <w:bCs/>
        </w:rPr>
        <w:t xml:space="preserve">$2.88</w:t>
      </w:r>
    </w:p>
    <w:p>
      <w:pPr>
        <w:pStyle w:val="FirstParagraph"/>
      </w:pPr>
      <w:r>
        <w:t xml:space="preserve">That would leave</w:t>
      </w:r>
      <w:r>
        <w:t xml:space="preserve"> </w:t>
      </w:r>
      <w:r>
        <w:rPr>
          <w:b/>
          <w:bCs/>
        </w:rPr>
        <w:t xml:space="preserve">$3.12</w:t>
      </w:r>
      <w:r>
        <w:t xml:space="preserve">, or an average of $1.56 per quarter, required in the second half to reach $6.</w:t>
      </w:r>
    </w:p>
    <w:p>
      <w:pPr>
        <w:pStyle w:val="BodyText"/>
      </w:pPr>
      <w:r>
        <w:t xml:space="preserve">The hurdle is therefore achievable if:</w:t>
      </w:r>
    </w:p>
    <w:p>
      <w:pPr>
        <w:pStyle w:val="Compact"/>
        <w:numPr>
          <w:ilvl w:val="0"/>
          <w:numId w:val="1011"/>
        </w:numPr>
      </w:pPr>
      <w:r>
        <w:t xml:space="preserve">Q2 pricing actions carry into the second half;</w:t>
      </w:r>
    </w:p>
    <w:p>
      <w:pPr>
        <w:pStyle w:val="Compact"/>
        <w:numPr>
          <w:ilvl w:val="0"/>
          <w:numId w:val="1011"/>
        </w:numPr>
      </w:pPr>
      <w:r>
        <w:t xml:space="preserve">Productivity savings accelerate as planned;</w:t>
      </w:r>
    </w:p>
    <w:p>
      <w:pPr>
        <w:pStyle w:val="Compact"/>
        <w:numPr>
          <w:ilvl w:val="0"/>
          <w:numId w:val="1011"/>
        </w:numPr>
      </w:pPr>
      <w:r>
        <w:t xml:space="preserve">NAST avoids a material contractual-margin squeeze; and</w:t>
      </w:r>
    </w:p>
    <w:p>
      <w:pPr>
        <w:pStyle w:val="Compact"/>
        <w:numPr>
          <w:ilvl w:val="0"/>
          <w:numId w:val="1011"/>
        </w:numPr>
      </w:pPr>
      <w:r>
        <w:t xml:space="preserve">Global Forwarding at least stabilizes.</w:t>
      </w:r>
    </w:p>
    <w:p>
      <w:pPr>
        <w:pStyle w:val="FirstParagraph"/>
      </w:pPr>
      <w:r>
        <w:t xml:space="preserve">The more relevant question is whether management continues to describe $6 as a high-confidence target—or begins emphasizing uncertainty around litigation, insurance and freight costs.</w:t>
      </w:r>
    </w:p>
    <w:bookmarkStart w:id="22" w:name="guidance-items-to-monitor"/>
    <w:p>
      <w:pPr>
        <w:pStyle w:val="Heading3"/>
      </w:pPr>
      <w:r>
        <w:t xml:space="preserve">Guidance items to monitor</w:t>
      </w:r>
    </w:p>
    <w:p>
      <w:pPr>
        <w:pStyle w:val="Compact"/>
        <w:numPr>
          <w:ilvl w:val="0"/>
          <w:numId w:val="1012"/>
        </w:numPr>
      </w:pPr>
      <w:r>
        <w:t xml:space="preserve">2026 adjusted EPS/operating-income target</w:t>
      </w:r>
    </w:p>
    <w:p>
      <w:pPr>
        <w:pStyle w:val="Compact"/>
        <w:numPr>
          <w:ilvl w:val="0"/>
          <w:numId w:val="1012"/>
        </w:numPr>
      </w:pPr>
      <w:r>
        <w:t xml:space="preserve">Personnel expense: previously</w:t>
      </w:r>
      <w:r>
        <w:t xml:space="preserve"> </w:t>
      </w:r>
      <m:oMath>
        <m:r>
          <m:t>1.25</m:t>
        </m:r>
        <m:r>
          <m:t>B</m:t>
        </m:r>
        <m:r>
          <m:rPr>
            <m:sty m:val="p"/>
          </m:rPr>
          <m:t>–</m:t>
        </m:r>
      </m:oMath>
      <w:r>
        <w:rPr>
          <w:b/>
          <w:bCs/>
        </w:rPr>
        <w:t xml:space="preserve">1.35B</w:t>
      </w:r>
    </w:p>
    <w:p>
      <w:pPr>
        <w:pStyle w:val="Compact"/>
        <w:numPr>
          <w:ilvl w:val="0"/>
          <w:numId w:val="1012"/>
        </w:numPr>
      </w:pPr>
      <w:r>
        <w:t xml:space="preserve">SG&amp;A: previously</w:t>
      </w:r>
      <w:r>
        <w:t xml:space="preserve"> </w:t>
      </w:r>
      <m:oMath>
        <m:r>
          <m:t>540</m:t>
        </m:r>
        <m:r>
          <m:t>M</m:t>
        </m:r>
        <m:r>
          <m:rPr>
            <m:sty m:val="p"/>
          </m:rPr>
          <m:t>–</m:t>
        </m:r>
      </m:oMath>
      <w:r>
        <w:rPr>
          <w:b/>
          <w:bCs/>
        </w:rPr>
        <w:t xml:space="preserve">590M</w:t>
      </w:r>
    </w:p>
    <w:p>
      <w:pPr>
        <w:pStyle w:val="Compact"/>
        <w:numPr>
          <w:ilvl w:val="0"/>
          <w:numId w:val="1012"/>
        </w:numPr>
      </w:pPr>
      <w:r>
        <w:t xml:space="preserve">Effective tax rate: previously</w:t>
      </w:r>
      <w:r>
        <w:t xml:space="preserve"> </w:t>
      </w:r>
      <w:r>
        <w:rPr>
          <w:b/>
          <w:bCs/>
        </w:rPr>
        <w:t xml:space="preserve">18%–20%</w:t>
      </w:r>
    </w:p>
    <w:p>
      <w:pPr>
        <w:pStyle w:val="Compact"/>
        <w:numPr>
          <w:ilvl w:val="0"/>
          <w:numId w:val="1012"/>
        </w:numPr>
      </w:pPr>
      <w:r>
        <w:t xml:space="preserve">Capital expenditure: previously</w:t>
      </w:r>
      <w:r>
        <w:t xml:space="preserve"> </w:t>
      </w:r>
      <m:oMath>
        <m:r>
          <m:t>75</m:t>
        </m:r>
        <m:r>
          <m:t>M</m:t>
        </m:r>
        <m:r>
          <m:rPr>
            <m:sty m:val="p"/>
          </m:rPr>
          <m:t>–</m:t>
        </m:r>
      </m:oMath>
      <w:r>
        <w:rPr>
          <w:b/>
          <w:bCs/>
        </w:rPr>
        <w:t xml:space="preserve">85M</w:t>
      </w:r>
    </w:p>
    <w:p>
      <w:pPr>
        <w:pStyle w:val="Compact"/>
        <w:numPr>
          <w:ilvl w:val="0"/>
          <w:numId w:val="1012"/>
        </w:numPr>
      </w:pPr>
      <w:r>
        <w:t xml:space="preserve">Pace of second-half productivity savings</w:t>
      </w:r>
    </w:p>
    <w:p>
      <w:pPr>
        <w:pStyle w:val="FirstParagraph"/>
      </w:pPr>
      <w:r>
        <w:t xml:space="preserve">A simple reaffirmation may be enough operationally, but a raise would require either stronger freight assumptions or faster-than-planned self-help.</w:t>
      </w:r>
    </w:p>
    <w:p>
      <w:r>
        <w:pict>
          <v:rect style="width:0;height:1.5pt" o:hralign="center" o:hrstd="t" o:hr="t"/>
        </w:pict>
      </w:r>
    </w:p>
    <w:bookmarkEnd w:id="22"/>
    <w:bookmarkEnd w:id="23"/>
    <w:bookmarkStart w:id="27" w:name="X5bb9757fbcd752d6b1d4cba618413c88504c762"/>
    <w:p>
      <w:pPr>
        <w:pStyle w:val="Heading2"/>
      </w:pPr>
      <w:r>
        <w:t xml:space="preserve">5. The legal issue may overshadow the quarter</w:t>
      </w:r>
    </w:p>
    <w:p>
      <w:pPr>
        <w:pStyle w:val="FirstParagraph"/>
      </w:pPr>
      <w:r>
        <w:t xml:space="preserve">On July 23, a Dallas County jury issued an</w:t>
      </w:r>
      <w:r>
        <w:t xml:space="preserve"> </w:t>
      </w:r>
      <w:r>
        <w:rPr>
          <w:b/>
          <w:bCs/>
        </w:rPr>
        <w:t xml:space="preserve">advisory verdict awarding $604 million of compensatory damages</w:t>
      </w:r>
      <w:r>
        <w:t xml:space="preserve"> </w:t>
      </w:r>
      <w:r>
        <w:t xml:space="preserve">against CHRW and two other defendants in litigation involving an independent motor carrier. The verdict is not yet final, remains subject to post-trial proceedings, and CHRW has said it expects to appeal if entered as final. (</w:t>
      </w:r>
      <w:hyperlink r:id="rId24">
        <w:r>
          <w:rPr>
            <w:rStyle w:val="Hyperlink"/>
          </w:rPr>
          <w:t xml:space="preserve">sec.gov</w:t>
        </w:r>
      </w:hyperlink>
      <w:r>
        <w:t xml:space="preserve">)</w:t>
      </w:r>
    </w:p>
    <w:p>
      <w:pPr>
        <w:pStyle w:val="BodyText"/>
      </w:pPr>
      <w:r>
        <w:t xml:space="preserve">This follows the Supreme Court’s</w:t>
      </w:r>
      <w:r>
        <w:t xml:space="preserve"> </w:t>
      </w:r>
      <w:r>
        <w:rPr>
          <w:b/>
          <w:bCs/>
        </w:rPr>
        <w:t xml:space="preserve">May 14, 2026</w:t>
      </w:r>
      <w:r>
        <w:t xml:space="preserve"> </w:t>
      </w:r>
      <w:r>
        <w:t xml:space="preserve">decision in</w:t>
      </w:r>
      <w:r>
        <w:t xml:space="preserve"> </w:t>
      </w:r>
      <w:r>
        <w:rPr>
          <w:i/>
          <w:iCs/>
        </w:rPr>
        <w:t xml:space="preserve">Montgomery v. Caribe Transport II</w:t>
      </w:r>
      <w:r>
        <w:t xml:space="preserve">. The Court ruled 9–0 that federal transportation law does not preempt state negligent-hiring claims against freight brokers. The decision does not establish automatic broker liability, but it removes a broad preemption defense that had previously blocked certain claims. (</w:t>
      </w:r>
      <w:hyperlink r:id="rId25">
        <w:r>
          <w:rPr>
            <w:rStyle w:val="Hyperlink"/>
          </w:rPr>
          <w:t xml:space="preserve">supremecourt.gov</w:t>
        </w:r>
      </w:hyperlink>
      <w:r>
        <w:t xml:space="preserve">)</w:t>
      </w:r>
    </w:p>
    <w:p>
      <w:pPr>
        <w:pStyle w:val="BodyText"/>
      </w:pPr>
      <w:r>
        <w:t xml:space="preserve">The Texas verdict and the</w:t>
      </w:r>
      <w:r>
        <w:t xml:space="preserve"> </w:t>
      </w:r>
      <w:r>
        <w:rPr>
          <w:i/>
          <w:iCs/>
        </w:rPr>
        <w:t xml:space="preserve">Montgomery</w:t>
      </w:r>
      <w:r>
        <w:t xml:space="preserve"> </w:t>
      </w:r>
      <w:r>
        <w:t xml:space="preserve">case are separate matters, but together they materially change the risk discussion around CHRW.</w:t>
      </w:r>
    </w:p>
    <w:bookmarkStart w:id="26" w:name="questions-investors-need-answered"/>
    <w:p>
      <w:pPr>
        <w:pStyle w:val="Heading3"/>
      </w:pPr>
      <w:r>
        <w:t xml:space="preserve">Questions investors need answered</w:t>
      </w:r>
    </w:p>
    <w:p>
      <w:pPr>
        <w:pStyle w:val="Compact"/>
        <w:numPr>
          <w:ilvl w:val="0"/>
          <w:numId w:val="1013"/>
        </w:numPr>
      </w:pPr>
      <w:r>
        <w:rPr>
          <w:b/>
          <w:bCs/>
        </w:rPr>
        <w:t xml:space="preserve">Will CHRW record a loss accrual or disclose a reasonably possible range of loss?</w:t>
      </w:r>
    </w:p>
    <w:p>
      <w:pPr>
        <w:pStyle w:val="Compact"/>
        <w:numPr>
          <w:ilvl w:val="0"/>
          <w:numId w:val="1013"/>
        </w:numPr>
      </w:pPr>
      <w:r>
        <w:rPr>
          <w:b/>
          <w:bCs/>
        </w:rPr>
        <w:t xml:space="preserve">How much of any judgment may be covered by insurance?</w:t>
      </w:r>
    </w:p>
    <w:p>
      <w:pPr>
        <w:pStyle w:val="Compact"/>
        <w:numPr>
          <w:ilvl w:val="0"/>
          <w:numId w:val="1013"/>
        </w:numPr>
      </w:pPr>
      <w:r>
        <w:rPr>
          <w:b/>
          <w:bCs/>
        </w:rPr>
        <w:t xml:space="preserve">Would an appeal require collateral or an appeal bond?</w:t>
      </w:r>
    </w:p>
    <w:p>
      <w:pPr>
        <w:pStyle w:val="Compact"/>
        <w:numPr>
          <w:ilvl w:val="0"/>
          <w:numId w:val="1013"/>
        </w:numPr>
      </w:pPr>
      <w:r>
        <w:rPr>
          <w:b/>
          <w:bCs/>
        </w:rPr>
        <w:t xml:space="preserve">What are the expected timing and cash requirements?</w:t>
      </w:r>
    </w:p>
    <w:p>
      <w:pPr>
        <w:pStyle w:val="Compact"/>
        <w:numPr>
          <w:ilvl w:val="0"/>
          <w:numId w:val="1013"/>
        </w:numPr>
      </w:pPr>
      <w:r>
        <w:rPr>
          <w:b/>
          <w:bCs/>
        </w:rPr>
        <w:t xml:space="preserve">Has management changed its carrier-vetting standards since the Supreme Court ruling?</w:t>
      </w:r>
    </w:p>
    <w:p>
      <w:pPr>
        <w:pStyle w:val="Compact"/>
        <w:numPr>
          <w:ilvl w:val="0"/>
          <w:numId w:val="1013"/>
        </w:numPr>
      </w:pPr>
      <w:r>
        <w:rPr>
          <w:b/>
          <w:bCs/>
        </w:rPr>
        <w:t xml:space="preserve">Are insurance premiums or coverage limits rising?</w:t>
      </w:r>
    </w:p>
    <w:p>
      <w:pPr>
        <w:pStyle w:val="Compact"/>
        <w:numPr>
          <w:ilvl w:val="0"/>
          <w:numId w:val="1013"/>
        </w:numPr>
      </w:pPr>
      <w:r>
        <w:rPr>
          <w:b/>
          <w:bCs/>
        </w:rPr>
        <w:t xml:space="preserve">Could customers require greater indemnification or insurance protection?</w:t>
      </w:r>
    </w:p>
    <w:p>
      <w:pPr>
        <w:pStyle w:val="Compact"/>
        <w:numPr>
          <w:ilvl w:val="0"/>
          <w:numId w:val="1013"/>
        </w:numPr>
      </w:pPr>
      <w:r>
        <w:rPr>
          <w:b/>
          <w:bCs/>
        </w:rPr>
        <w:t xml:space="preserve">Will the company slow share repurchases while the litigation remains unresolved?</w:t>
      </w:r>
    </w:p>
    <w:p>
      <w:pPr>
        <w:pStyle w:val="Compact"/>
        <w:numPr>
          <w:ilvl w:val="0"/>
          <w:numId w:val="1013"/>
        </w:numPr>
      </w:pPr>
      <w:r>
        <w:rPr>
          <w:b/>
          <w:bCs/>
        </w:rPr>
        <w:t xml:space="preserve">Are there other pending cases with similar legal theories?</w:t>
      </w:r>
    </w:p>
    <w:p>
      <w:pPr>
        <w:pStyle w:val="FirstParagraph"/>
      </w:pPr>
      <w:r>
        <w:t xml:space="preserve">At the end of Q1, CHRW had approximately $1.24 billion of liquidity and a 1.32-times net-debt-to-EBITDA ratio. It also returned roughly $360 million to shareholders during the quarter, including about $281 million of repurchases. A $604 million gross verdict is therefore material even though it is advisory, not final and may ultimately be reduced, overturned or partly insured.</w:t>
      </w:r>
    </w:p>
    <w:p>
      <w:pPr>
        <w:pStyle w:val="BodyText"/>
      </w:pPr>
      <w:r>
        <w:t xml:space="preserve">The quality of management’s disclosure is likely to matter as much as the exact accounting treatment.</w:t>
      </w:r>
    </w:p>
    <w:p>
      <w:r>
        <w:pict>
          <v:rect style="width:0;height:1.5pt" o:hralign="center" o:hrstd="t" o:hr="t"/>
        </w:pict>
      </w:r>
    </w:p>
    <w:bookmarkEnd w:id="26"/>
    <w:bookmarkEnd w:id="27"/>
    <w:bookmarkStart w:id="28" w:name="Xbef61b93f766cc6135da607972c4cd8bb7692a1"/>
    <w:p>
      <w:pPr>
        <w:pStyle w:val="Heading2"/>
      </w:pPr>
      <w:r>
        <w:t xml:space="preserve">6. Stock setup and valuation</w:t>
      </w:r>
    </w:p>
    <w:p>
      <w:pPr>
        <w:pStyle w:val="FirstParagraph"/>
      </w:pPr>
      <w:r>
        <w:t xml:space="preserve">CHRW closed at approximately</w:t>
      </w:r>
      <w:r>
        <w:t xml:space="preserve"> </w:t>
      </w:r>
      <w:r>
        <w:rPr>
          <w:b/>
          <w:bCs/>
        </w:rPr>
        <w:t xml:space="preserve">$169 on July 28</w:t>
      </w:r>
      <w:r>
        <w:t xml:space="preserve">, down roughly 18% from its July 23 close following disclosure of the advisory verdict. (</w:t>
      </w:r>
      <w:hyperlink r:id="rId11">
        <w:r>
          <w:rPr>
            <w:rStyle w:val="Hyperlink"/>
          </w:rPr>
          <w:t xml:space="preserve">marketbeat.com</w:t>
        </w:r>
      </w:hyperlink>
      <w:r>
        <w:t xml:space="preserve">)</w:t>
      </w:r>
    </w:p>
    <w:p>
      <w:pPr>
        <w:pStyle w:val="BodyText"/>
      </w:pPr>
      <w:r>
        <w:t xml:space="preserve">At that price, the shares trade at about</w:t>
      </w:r>
      <w:r>
        <w:t xml:space="preserve"> </w:t>
      </w:r>
      <w:r>
        <w:rPr>
          <w:b/>
          <w:bCs/>
        </w:rPr>
        <w:t xml:space="preserve">28 times management’s $6 EPS target</w:t>
      </w:r>
      <w:r>
        <w:t xml:space="preserve">.</w:t>
      </w:r>
    </w:p>
    <w:p>
      <w:pPr>
        <w:pStyle w:val="BodyText"/>
      </w:pPr>
      <w:r>
        <w:t xml:space="preserve">That remains a demanding multiple for a cyclical freight broker. The valuation can be justified if investors believe CHRW has structurally raised its earnings floor through automation, disciplined pricing and market-share gains. It is harder to justify if legal and insurance costs absorb a meaningful portion of those productivity benefits.</w:t>
      </w:r>
    </w:p>
    <w:p>
      <w:pPr>
        <w:pStyle w:val="BodyText"/>
      </w:pPr>
      <w:r>
        <w:t xml:space="preserve">The stock’s immediate reaction will therefore depend on more than whether EPS beats $1.53:</w:t>
      </w:r>
    </w:p>
    <w:p>
      <w:pPr>
        <w:pStyle w:val="Compact"/>
        <w:numPr>
          <w:ilvl w:val="0"/>
          <w:numId w:val="1014"/>
        </w:numPr>
      </w:pPr>
      <w:r>
        <w:t xml:space="preserve">A small earnings beat with vague legal commentary may not be sufficient.</w:t>
      </w:r>
    </w:p>
    <w:p>
      <w:pPr>
        <w:pStyle w:val="Compact"/>
        <w:numPr>
          <w:ilvl w:val="0"/>
          <w:numId w:val="1014"/>
        </w:numPr>
      </w:pPr>
      <w:r>
        <w:t xml:space="preserve">A clean NAST margin result plus credible legal containment could drive relief.</w:t>
      </w:r>
    </w:p>
    <w:p>
      <w:pPr>
        <w:pStyle w:val="Compact"/>
        <w:numPr>
          <w:ilvl w:val="0"/>
          <w:numId w:val="1014"/>
        </w:numPr>
      </w:pPr>
      <w:r>
        <w:t xml:space="preserve">A legal reserve, capital-return pause or deterioration in the $6 framework could produce further downside.</w:t>
      </w:r>
    </w:p>
    <w:p>
      <w:r>
        <w:pict>
          <v:rect style="width:0;height:1.5pt" o:hralign="center" o:hrstd="t" o:hr="t"/>
        </w:pict>
      </w:r>
    </w:p>
    <w:bookmarkEnd w:id="28"/>
    <w:bookmarkStart w:id="32" w:name="earnings-scorecard"/>
    <w:p>
      <w:pPr>
        <w:pStyle w:val="Heading2"/>
      </w:pPr>
      <w:r>
        <w:t xml:space="preserve">Earnings scorecard</w:t>
      </w:r>
    </w:p>
    <w:bookmarkStart w:id="29" w:name="clearly-positive"/>
    <w:p>
      <w:pPr>
        <w:pStyle w:val="Heading3"/>
      </w:pPr>
      <w:r>
        <w:t xml:space="preserve">Clearly positive</w:t>
      </w:r>
    </w:p>
    <w:p>
      <w:pPr>
        <w:pStyle w:val="Compact"/>
        <w:numPr>
          <w:ilvl w:val="0"/>
          <w:numId w:val="1015"/>
        </w:numPr>
      </w:pPr>
      <w:r>
        <w:t xml:space="preserve">Adjusted EPS above roughly</w:t>
      </w:r>
      <w:r>
        <w:t xml:space="preserve"> </w:t>
      </w:r>
      <w:r>
        <w:rPr>
          <w:b/>
          <w:bCs/>
        </w:rPr>
        <w:t xml:space="preserve">$1.55</w:t>
      </w:r>
    </w:p>
    <w:p>
      <w:pPr>
        <w:pStyle w:val="Compact"/>
        <w:numPr>
          <w:ilvl w:val="0"/>
          <w:numId w:val="1015"/>
        </w:numPr>
      </w:pPr>
      <w:r>
        <w:t xml:space="preserve">NAST gross profit and operating margin hold up despite carrier-cost inflation</w:t>
      </w:r>
    </w:p>
    <w:p>
      <w:pPr>
        <w:pStyle w:val="Compact"/>
        <w:numPr>
          <w:ilvl w:val="0"/>
          <w:numId w:val="1015"/>
        </w:numPr>
      </w:pPr>
      <w:r>
        <w:t xml:space="preserve">Continued material outgrowth versus the freight market</w:t>
      </w:r>
    </w:p>
    <w:p>
      <w:pPr>
        <w:pStyle w:val="Compact"/>
        <w:numPr>
          <w:ilvl w:val="0"/>
          <w:numId w:val="1015"/>
        </w:numPr>
      </w:pPr>
      <w:r>
        <w:t xml:space="preserve">Truckload gross profit per shipment increases</w:t>
      </w:r>
    </w:p>
    <w:p>
      <w:pPr>
        <w:pStyle w:val="Compact"/>
        <w:numPr>
          <w:ilvl w:val="0"/>
          <w:numId w:val="1015"/>
        </w:numPr>
      </w:pPr>
      <w:r>
        <w:t xml:space="preserve">Global Forwarding improves sequentially</w:t>
      </w:r>
    </w:p>
    <w:p>
      <w:pPr>
        <w:pStyle w:val="Compact"/>
        <w:numPr>
          <w:ilvl w:val="0"/>
          <w:numId w:val="1015"/>
        </w:numPr>
      </w:pPr>
      <w:r>
        <w:t xml:space="preserve">Full-year targets reaffirmed or raised</w:t>
      </w:r>
    </w:p>
    <w:p>
      <w:pPr>
        <w:pStyle w:val="Compact"/>
        <w:numPr>
          <w:ilvl w:val="0"/>
          <w:numId w:val="1015"/>
        </w:numPr>
      </w:pPr>
      <w:r>
        <w:t xml:space="preserve">Legal exposure appears insured, manageable or unlikely to disrupt buybacks</w:t>
      </w:r>
    </w:p>
    <w:bookmarkEnd w:id="29"/>
    <w:bookmarkStart w:id="30" w:name="mixed"/>
    <w:p>
      <w:pPr>
        <w:pStyle w:val="Heading3"/>
      </w:pPr>
      <w:r>
        <w:t xml:space="preserve">Mixed</w:t>
      </w:r>
    </w:p>
    <w:p>
      <w:pPr>
        <w:pStyle w:val="Compact"/>
        <w:numPr>
          <w:ilvl w:val="0"/>
          <w:numId w:val="1016"/>
        </w:numPr>
      </w:pPr>
      <w:r>
        <w:t xml:space="preserve">EPS beats primarily because of taxes, repurchases or unusually low expenses</w:t>
      </w:r>
    </w:p>
    <w:p>
      <w:pPr>
        <w:pStyle w:val="Compact"/>
        <w:numPr>
          <w:ilvl w:val="0"/>
          <w:numId w:val="1016"/>
        </w:numPr>
      </w:pPr>
      <w:r>
        <w:t xml:space="preserve">Revenue beats but adjusted gross profit misses</w:t>
      </w:r>
    </w:p>
    <w:p>
      <w:pPr>
        <w:pStyle w:val="Compact"/>
        <w:numPr>
          <w:ilvl w:val="0"/>
          <w:numId w:val="1016"/>
        </w:numPr>
      </w:pPr>
      <w:r>
        <w:t xml:space="preserve">NAST volume grows while gross profit per shipment falls</w:t>
      </w:r>
    </w:p>
    <w:p>
      <w:pPr>
        <w:pStyle w:val="Compact"/>
        <w:numPr>
          <w:ilvl w:val="0"/>
          <w:numId w:val="1016"/>
        </w:numPr>
      </w:pPr>
      <w:r>
        <w:t xml:space="preserve">$6 EPS target is maintained but management reduces capital returns</w:t>
      </w:r>
    </w:p>
    <w:p>
      <w:pPr>
        <w:pStyle w:val="Compact"/>
        <w:numPr>
          <w:ilvl w:val="0"/>
          <w:numId w:val="1016"/>
        </w:numPr>
      </w:pPr>
      <w:r>
        <w:t xml:space="preserve">No accrual is recorded, but management provides little clarity on insurance or potential exposure</w:t>
      </w:r>
    </w:p>
    <w:bookmarkEnd w:id="30"/>
    <w:bookmarkStart w:id="31" w:name="negative"/>
    <w:p>
      <w:pPr>
        <w:pStyle w:val="Heading3"/>
      </w:pPr>
      <w:r>
        <w:t xml:space="preserve">Negative</w:t>
      </w:r>
    </w:p>
    <w:p>
      <w:pPr>
        <w:pStyle w:val="Compact"/>
        <w:numPr>
          <w:ilvl w:val="0"/>
          <w:numId w:val="1017"/>
        </w:numPr>
      </w:pPr>
      <w:r>
        <w:t xml:space="preserve">Contractual truckload margins compress materially</w:t>
      </w:r>
    </w:p>
    <w:p>
      <w:pPr>
        <w:pStyle w:val="Compact"/>
        <w:numPr>
          <w:ilvl w:val="0"/>
          <w:numId w:val="1017"/>
        </w:numPr>
      </w:pPr>
      <w:r>
        <w:t xml:space="preserve">NAST adjusted operating margin falls despite further headcount reductions</w:t>
      </w:r>
    </w:p>
    <w:p>
      <w:pPr>
        <w:pStyle w:val="Compact"/>
        <w:numPr>
          <w:ilvl w:val="0"/>
          <w:numId w:val="1017"/>
        </w:numPr>
      </w:pPr>
      <w:r>
        <w:t xml:space="preserve">Global Forwarding remains down double digits</w:t>
      </w:r>
    </w:p>
    <w:p>
      <w:pPr>
        <w:pStyle w:val="Compact"/>
        <w:numPr>
          <w:ilvl w:val="0"/>
          <w:numId w:val="1017"/>
        </w:numPr>
      </w:pPr>
      <w:r>
        <w:t xml:space="preserve">Management backs away from the $6 framework</w:t>
      </w:r>
    </w:p>
    <w:p>
      <w:pPr>
        <w:pStyle w:val="Compact"/>
        <w:numPr>
          <w:ilvl w:val="0"/>
          <w:numId w:val="1017"/>
        </w:numPr>
      </w:pPr>
      <w:r>
        <w:t xml:space="preserve">Material litigation accrual or uninsured exposure</w:t>
      </w:r>
    </w:p>
    <w:p>
      <w:pPr>
        <w:pStyle w:val="Compact"/>
        <w:numPr>
          <w:ilvl w:val="0"/>
          <w:numId w:val="1017"/>
        </w:numPr>
      </w:pPr>
      <w:r>
        <w:t xml:space="preserve">Share repurchases are suspended or leverage expectations rise</w:t>
      </w:r>
    </w:p>
    <w:p>
      <w:r>
        <w:pict>
          <v:rect style="width:0;height:1.5pt" o:hralign="center" o:hrstd="t" o:hr="t"/>
        </w:pict>
      </w:r>
    </w:p>
    <w:bookmarkEnd w:id="31"/>
    <w:bookmarkEnd w:id="32"/>
    <w:bookmarkStart w:id="33" w:name="bottom-line"/>
    <w:p>
      <w:pPr>
        <w:pStyle w:val="Heading2"/>
      </w:pPr>
      <w:r>
        <w:t xml:space="preserve">Bottom line</w:t>
      </w:r>
    </w:p>
    <w:p>
      <w:pPr>
        <w:pStyle w:val="FirstParagraph"/>
      </w:pPr>
      <w:r>
        <w:rPr>
          <w:b/>
          <w:bCs/>
        </w:rPr>
        <w:t xml:space="preserve">The operating bar looks manageable; the credibility bar is higher.</w:t>
      </w:r>
    </w:p>
    <w:p>
      <w:pPr>
        <w:pStyle w:val="BodyText"/>
      </w:pPr>
      <w:r>
        <w:t xml:space="preserve">Consensus assumes another quarter of strong EPS growth even though underlying freight demand remains soft. CHRW can meet that bar if its pricing tools, carrier-cost advantage and productivity program continue working as they did in Q1. The most important operating evidence will be NAST gross profit per shipment and operating margin—not revenue growth.</w:t>
      </w:r>
    </w:p>
    <w:p>
      <w:pPr>
        <w:pStyle w:val="BodyText"/>
      </w:pPr>
      <w:r>
        <w:t xml:space="preserve">However, the report is now also a balance-sheet and risk-management event. Investors need a clear explanation of the $604 million advisory verdict, insurance coverage, appeal process, potential collateral requirements and consequences for capital allocation.</w:t>
      </w:r>
    </w:p>
    <w:p>
      <w:pPr>
        <w:pStyle w:val="BodyText"/>
      </w:pPr>
      <w:r>
        <w:t xml:space="preserve">The best outcome would combine:</w:t>
      </w:r>
    </w:p>
    <w:p>
      <w:pPr>
        <w:pStyle w:val="Compact"/>
        <w:numPr>
          <w:ilvl w:val="0"/>
          <w:numId w:val="1018"/>
        </w:numPr>
      </w:pPr>
      <w:r>
        <w:rPr>
          <w:b/>
          <w:bCs/>
        </w:rPr>
        <w:t xml:space="preserve">Stable NAST economics in a supply-tightening market;</w:t>
      </w:r>
    </w:p>
    <w:p>
      <w:pPr>
        <w:pStyle w:val="Compact"/>
        <w:numPr>
          <w:ilvl w:val="0"/>
          <w:numId w:val="1018"/>
        </w:numPr>
      </w:pPr>
      <w:r>
        <w:rPr>
          <w:b/>
          <w:bCs/>
        </w:rPr>
        <w:t xml:space="preserve">Visible second-half productivity leverage;</w:t>
      </w:r>
    </w:p>
    <w:p>
      <w:pPr>
        <w:pStyle w:val="Compact"/>
        <w:numPr>
          <w:ilvl w:val="0"/>
          <w:numId w:val="1018"/>
        </w:numPr>
      </w:pPr>
      <w:r>
        <w:rPr>
          <w:b/>
          <w:bCs/>
        </w:rPr>
        <w:t xml:space="preserve">Reaffirmation or improvement of the $6 EPS framework; and</w:t>
      </w:r>
    </w:p>
    <w:p>
      <w:pPr>
        <w:pStyle w:val="Compact"/>
        <w:numPr>
          <w:ilvl w:val="0"/>
          <w:numId w:val="1018"/>
        </w:numPr>
      </w:pPr>
      <w:r>
        <w:rPr>
          <w:b/>
          <w:bCs/>
        </w:rPr>
        <w:t xml:space="preserve">A credible path to containing litigation exposure without compromising the balance sheet or buybacks.</w:t>
      </w:r>
    </w:p>
    <w:p>
      <w:pPr>
        <w:pStyle w:val="FirstParagraph"/>
      </w:pPr>
      <w:r>
        <w:t xml:space="preserve">Absent the fourth item, even a solid Q2 earnings beat may provide only limited reassurance.</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3" Target="https://investor.chrobinson.com/Financials/Quarterly-Results/default.aspx?utm_source=openai" TargetMode="External" /><Relationship Type="http://schemas.openxmlformats.org/officeDocument/2006/relationships/hyperlink" Id="rId9" Target="https://investor.chrobinson.com/news/press-releases/news-details/2026/C-H--Robinson-Second-Quarter-2026-Earnings-Release-and-Conference-Call-Scheduled-for-Wednesday-July-29-2026/default.aspx" TargetMode="External" /><Relationship Type="http://schemas.openxmlformats.org/officeDocument/2006/relationships/hyperlink" Id="rId14" Target="https://www.cassinfo.com/freight-audit-payment/cass-transportation-indexes/june-2026?utm_source=openai" TargetMode="External" /><Relationship Type="http://schemas.openxmlformats.org/officeDocument/2006/relationships/hyperlink" Id="rId15" Target="https://www.jbhunt.com/our-company/newsroom/2026/07/q2-2026-earnings?utm_source=openai" TargetMode="External" /><Relationship Type="http://schemas.openxmlformats.org/officeDocument/2006/relationships/hyperlink" Id="rId11" Target="https://www.marketbeat.com/earnings/reports/2026-7-29-ch-robinson-worldwide-inc-stock/" TargetMode="External" /><Relationship Type="http://schemas.openxmlformats.org/officeDocument/2006/relationships/hyperlink" Id="rId24" Target="https://www.sec.gov/Archives/edgar/data/1043277/000119312526315034/d149453d8k.htm" TargetMode="External" /><Relationship Type="http://schemas.openxmlformats.org/officeDocument/2006/relationships/hyperlink" Id="rId25" Target="https://www.supremecourt.gov/opinions/25pdf/24-1238_1b7d.pdf?ftag=MSF0951a18&amp;utm_source=openai" TargetMode="External" /></Relationships>
</file>

<file path=word/_rels/footnotes.xml.rels><?xml version="1.0" encoding="UTF-8"?><Relationships xmlns="http://schemas.openxmlformats.org/package/2006/relationships"><Relationship Type="http://schemas.openxmlformats.org/officeDocument/2006/relationships/hyperlink" Id="rId13" Target="https://investor.chrobinson.com/Financials/Quarterly-Results/default.aspx?utm_source=openai" TargetMode="External" /><Relationship Type="http://schemas.openxmlformats.org/officeDocument/2006/relationships/hyperlink" Id="rId9" Target="https://investor.chrobinson.com/news/press-releases/news-details/2026/C-H--Robinson-Second-Quarter-2026-Earnings-Release-and-Conference-Call-Scheduled-for-Wednesday-July-29-2026/default.aspx" TargetMode="External" /><Relationship Type="http://schemas.openxmlformats.org/officeDocument/2006/relationships/hyperlink" Id="rId14" Target="https://www.cassinfo.com/freight-audit-payment/cass-transportation-indexes/june-2026?utm_source=openai" TargetMode="External" /><Relationship Type="http://schemas.openxmlformats.org/officeDocument/2006/relationships/hyperlink" Id="rId15" Target="https://www.jbhunt.com/our-company/newsroom/2026/07/q2-2026-earnings?utm_source=openai" TargetMode="External" /><Relationship Type="http://schemas.openxmlformats.org/officeDocument/2006/relationships/hyperlink" Id="rId11" Target="https://www.marketbeat.com/earnings/reports/2026-7-29-ch-robinson-worldwide-inc-stock/" TargetMode="External" /><Relationship Type="http://schemas.openxmlformats.org/officeDocument/2006/relationships/hyperlink" Id="rId24" Target="https://www.sec.gov/Archives/edgar/data/1043277/000119312526315034/d149453d8k.htm" TargetMode="External" /><Relationship Type="http://schemas.openxmlformats.org/officeDocument/2006/relationships/hyperlink" Id="rId25" Target="https://www.supremecourt.gov/opinions/25pdf/24-1238_1b7d.pdf?ftag=MSF0951a18&amp;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2026-07-29T01:47:58Z</dcterms:created>
  <dcterms:modified xsi:type="dcterms:W3CDTF">2026-07-29T01:47:58Z</dcterms:modified>
</cp:coreProperties>
</file>

<file path=docProps/custom.xml><?xml version="1.0" encoding="utf-8"?>
<Properties xmlns="http://schemas.openxmlformats.org/officeDocument/2006/custom-properties" xmlns:vt="http://schemas.openxmlformats.org/officeDocument/2006/docPropsVTypes"/>
</file>