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rw-earnings-predictions--2026-07-29"/>
    <w:p>
      <w:pPr>
        <w:pStyle w:val="Heading1"/>
      </w:pPr>
      <w:r>
        <w:t xml:space="preserve">CHRW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~$1.51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NAST adjusted gross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~$452M vs. cons $446M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Forwarding adjusted gross profit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~$158M vs. cons $169M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framework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~$6.00 vs. cons $6.15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personnel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~$1.30B vs. cons $1.30B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NAST productivity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10%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EPS and NAST gross-profit-dollar upside are likely outweighed by a ~</w:t>
            </w:r>
            <m:oMath>
              <m:r>
                <m:t>6.00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f</m:t>
              </m:r>
              <m:r>
                <m:t>r</m:t>
              </m:r>
              <m:r>
                <m:t>a</m:t>
              </m:r>
              <m:r>
                <m:t>m</m:t>
              </m:r>
              <m:r>
                <m:t>e</m:t>
              </m:r>
              <m:r>
                <m:t>w</m:t>
              </m:r>
              <m:r>
                <m:t>o</m:t>
              </m:r>
              <m:r>
                <m:t>r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6.15 consensus, implying out-period estimate cuts, while the $604M advisory-verdict overhang keeps the risk discount elevated.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2026-07-29T01:47:36Z</dcterms:created>
  <dcterms:modified xsi:type="dcterms:W3CDTF">2026-07-29T01:47:36Z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