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1bfc91a6d00f072ec5ad9ea069c8929057e2534"/>
    <w:p>
      <w:pPr>
        <w:pStyle w:val="Heading1"/>
      </w:pPr>
      <w:r>
        <w:t xml:space="preserve">C.H. Robinson (NASDAQ: CHRW) — 2Q26 Earnings Preview</w:t>
      </w:r>
    </w:p>
    <w:p>
      <w:pPr>
        <w:pStyle w:val="BlockText"/>
      </w:pPr>
      <w:r>
        <w:rPr>
          <w:b/>
          <w:bCs/>
        </w:rPr>
        <w:t xml:space="preserve">Timing correction:</w:t>
      </w:r>
      <w:r>
        <w:t xml:space="preserve"> </w:t>
      </w:r>
      <w:r>
        <w:t xml:space="preserve">CHRW is scheduled to report</w:t>
      </w:r>
      <w:r>
        <w:t xml:space="preserve"> </w:t>
      </w:r>
      <w:r>
        <w:rPr>
          <w:b/>
          <w:bCs/>
        </w:rPr>
        <w:t xml:space="preserve">after the market close today, Wednesday, July 29, 2026</w:t>
      </w:r>
      <w:r>
        <w:t xml:space="preserve">, not tomorrow, followed by a</w:t>
      </w:r>
      <w:r>
        <w:t xml:space="preserve"> </w:t>
      </w:r>
      <w:r>
        <w:rPr>
          <w:b/>
          <w:bCs/>
        </w:rPr>
        <w:t xml:space="preserve">5:30 p.m. ET</w:t>
      </w:r>
      <w:r>
        <w:t xml:space="preserve"> </w:t>
      </w:r>
      <w:r>
        <w:t xml:space="preserve">conference call.</w:t>
      </w:r>
    </w:p>
    <w:bookmarkStart w:id="9" w:name="preview-takeaway"/>
    <w:p>
      <w:pPr>
        <w:pStyle w:val="Heading2"/>
      </w:pPr>
      <w:r>
        <w:t xml:space="preserve">Preview takeaway</w:t>
      </w:r>
    </w:p>
    <w:p>
      <w:pPr>
        <w:pStyle w:val="FirstParagraph"/>
      </w:pPr>
      <w:r>
        <w:t xml:space="preserve">This is an unusually high-stakes print. The operating setup entering 2Q is constructive: C.H. Robinson entered the quarter with a tightening North American truckload market, solid bid-season execution, targeted contract repricing, and an expectation for productivity gains to accelerate in the second half. The company’s ability in 1Q to preserve NAST margin despite sharply rising spot costs supports the core transformation thesis.</w:t>
      </w:r>
    </w:p>
    <w:p>
      <w:pPr>
        <w:pStyle w:val="BodyText"/>
      </w:pPr>
      <w:r>
        <w:t xml:space="preserve">However, the earnings result may not be the only—or even primary—driver of the stock. A Dallas County jury issued a</w:t>
      </w:r>
      <w:r>
        <w:t xml:space="preserve"> </w:t>
      </w:r>
      <w:r>
        <w:rPr>
          <w:b/>
          <w:bCs/>
        </w:rPr>
        <w:t xml:space="preserve">$604 million advisory verdict</w:t>
      </w:r>
      <w:r>
        <w:t xml:space="preserve"> </w:t>
      </w:r>
      <w:r>
        <w:t xml:space="preserve">against CHRW on July 23 related to a trucking accident. The verdict is subject to post-trial proceedings; CHRW disagrees with it and expects to appeal if it becomes final. That legal overhang has reset the near-term risk/reward and makes disclosure around insurance, potential financial exposure, and operational implications essential.</w:t>
      </w:r>
    </w:p>
    <w:p>
      <w:pPr>
        <w:pStyle w:val="BodyText"/>
      </w:pPr>
      <w:r>
        <w:rPr>
          <w:b/>
          <w:bCs/>
        </w:rPr>
        <w:t xml:space="preserve">Bottom line:</w:t>
      </w:r>
      <w:r>
        <w:t xml:space="preserve"> </w:t>
      </w:r>
      <w:r>
        <w:t xml:space="preserve">Investors should look past the headline EPS number and judge the quarter on (1) NAST gross-profit-dollar and margin resilience in a higher-rate environment, (2) volumes and share gains, (3) evidence that Global Forwarding has stabilized, (4) delivery against the $6 adjusted-EPS framework, and (5) the legal/insurance exposure following the July verdict.</w:t>
      </w:r>
    </w:p>
    <w:p>
      <w:r>
        <w:pict>
          <v:rect style="width:0;height:1.5pt" o:hralign="center" o:hrstd="t" o:hr="t"/>
        </w:pict>
      </w:r>
    </w:p>
    <w:bookmarkEnd w:id="9"/>
    <w:bookmarkStart w:id="13" w:name="what-matters-most"/>
    <w:p>
      <w:pPr>
        <w:pStyle w:val="Heading2"/>
      </w:pPr>
      <w:r>
        <w:t xml:space="preserve">What matters most</w:t>
      </w:r>
    </w:p>
    <w:bookmarkStart w:id="10" w:name="X5b22002d829b80dd82fde87b1d907afad3f117a"/>
    <w:p>
      <w:pPr>
        <w:pStyle w:val="Heading3"/>
      </w:pPr>
      <w:r>
        <w:t xml:space="preserve">1. Can NAST translate a tighter trucking market into higher earnings?</w:t>
      </w:r>
    </w:p>
    <w:p>
      <w:pPr>
        <w:pStyle w:val="FirstParagraph"/>
      </w:pPr>
      <w:r>
        <w:t xml:space="preserve">The central operating question is whether CHRW can continue to monetize a freight-cycle inflection better than it has historically.</w:t>
      </w:r>
    </w:p>
    <w:p>
      <w:pPr>
        <w:pStyle w:val="BodyText"/>
      </w:pPr>
      <w:r>
        <w:t xml:space="preserve">In 1Q26, North American Surface Transportation (NAST) held adjusted gross margin at</w:t>
      </w:r>
      <w:r>
        <w:t xml:space="preserve"> </w:t>
      </w:r>
      <w:r>
        <w:rPr>
          <w:b/>
          <w:bCs/>
        </w:rPr>
        <w:t xml:space="preserve">14.6%</w:t>
      </w:r>
      <w:r>
        <w:t xml:space="preserve">, even as truckload spot costs rose sharply. Truckload volume fell 3.5% year over year, but management characterized this as an intentional trade-off: it chose freight that met return thresholds rather than pursuing volume indiscriminately. Total NAST volume was flat, versus a 6.2% decline in the Cass Freight Shipment Index.</w:t>
      </w:r>
    </w:p>
    <w:p>
      <w:pPr>
        <w:pStyle w:val="BodyText"/>
      </w:pPr>
      <w:r>
        <w:t xml:space="preserve">For 2Q, management expected a seasonally stronger freight environment and said it anticipated</w:t>
      </w:r>
      <w:r>
        <w:t xml:space="preserve"> </w:t>
      </w:r>
      <w:r>
        <w:rPr>
          <w:b/>
          <w:bCs/>
        </w:rPr>
        <w:t xml:space="preserve">full-year dry-van spot rates up 17% year over year</w:t>
      </w:r>
      <w:r>
        <w:t xml:space="preserve">, versus an 8% outlook only three months earlier. The company also pointed to an expected 4.5% sequential seasonal increase in the Cass index, excluding 2020.</w:t>
      </w:r>
    </w:p>
    <w:p>
      <w:pPr>
        <w:pStyle w:val="BodyText"/>
      </w:pPr>
      <w:r>
        <w:rPr>
          <w:b/>
          <w:bCs/>
        </w:rPr>
        <w:t xml:space="preserve">Metrics to watch</w:t>
      </w:r>
    </w:p>
    <w:p>
      <w:pPr>
        <w:pStyle w:val="Compact"/>
        <w:numPr>
          <w:ilvl w:val="0"/>
          <w:numId w:val="1001"/>
        </w:numPr>
      </w:pPr>
      <w:r>
        <w:t xml:space="preserve">Truckload volume growth versus the market.</w:t>
      </w:r>
    </w:p>
    <w:p>
      <w:pPr>
        <w:pStyle w:val="Compact"/>
        <w:numPr>
          <w:ilvl w:val="0"/>
          <w:numId w:val="1001"/>
        </w:numPr>
      </w:pPr>
      <w:r>
        <w:t xml:space="preserve">NAST adjusted gross profit and adjusted gross margin.</w:t>
      </w:r>
    </w:p>
    <w:p>
      <w:pPr>
        <w:pStyle w:val="Compact"/>
        <w:numPr>
          <w:ilvl w:val="0"/>
          <w:numId w:val="1001"/>
        </w:numPr>
      </w:pPr>
      <w:r>
        <w:t xml:space="preserve">Truckload gross profit per shipment and gross profit per mile.</w:t>
      </w:r>
    </w:p>
    <w:p>
      <w:pPr>
        <w:pStyle w:val="Compact"/>
        <w:numPr>
          <w:ilvl w:val="0"/>
          <w:numId w:val="1001"/>
        </w:numPr>
      </w:pPr>
      <w:r>
        <w:t xml:space="preserve">Evidence that higher carrier costs are being passed through to customers quickly enough.</w:t>
      </w:r>
    </w:p>
    <w:p>
      <w:pPr>
        <w:pStyle w:val="Compact"/>
        <w:numPr>
          <w:ilvl w:val="0"/>
          <w:numId w:val="1001"/>
        </w:numPr>
      </w:pPr>
      <w:r>
        <w:t xml:space="preserve">LTL volume and gross-profit growth, an important stabilizer in the NAST portfolio.</w:t>
      </w:r>
    </w:p>
    <w:p>
      <w:pPr>
        <w:pStyle w:val="FirstParagraph"/>
      </w:pPr>
      <w:r>
        <w:rPr>
          <w:b/>
          <w:bCs/>
        </w:rPr>
        <w:t xml:space="preserve">Read-through:</w:t>
      </w:r>
      <w:r>
        <w:t xml:space="preserve"> </w:t>
      </w:r>
      <w:r>
        <w:t xml:space="preserve">A volume recovery accompanied by stable-to-improving NAST margin would reinforce the argument that Robinson’s pricing, procurement, and execution capabilities have structurally improved. A margin giveback would revive concerns that rising spot and contract rates remain a headwind for brokers.</w:t>
      </w:r>
    </w:p>
    <w:p>
      <w:r>
        <w:pict>
          <v:rect style="width:0;height:1.5pt" o:hralign="center" o:hrstd="t" o:hr="t"/>
        </w:pict>
      </w:r>
    </w:p>
    <w:bookmarkEnd w:id="10"/>
    <w:bookmarkStart w:id="11" w:name="X9f625b3c67fda866f03a211057ba6600fc3b3b2"/>
    <w:p>
      <w:pPr>
        <w:pStyle w:val="Heading3"/>
      </w:pPr>
      <w:r>
        <w:t xml:space="preserve">2. Productivity and operating leverage need to carry more weight in 2H</w:t>
      </w:r>
    </w:p>
    <w:p>
      <w:pPr>
        <w:pStyle w:val="FirstParagraph"/>
      </w:pPr>
      <w:r>
        <w:t xml:space="preserve">CHRW’s self-help story remains central to the full-year earnings algorithm. In 1Q, average headcount declined</w:t>
      </w:r>
      <w:r>
        <w:t xml:space="preserve"> </w:t>
      </w:r>
      <w:r>
        <w:rPr>
          <w:b/>
          <w:bCs/>
        </w:rPr>
        <w:t xml:space="preserve">12.3%</w:t>
      </w:r>
      <w:r>
        <w:t xml:space="preserve"> </w:t>
      </w:r>
      <w:r>
        <w:t xml:space="preserve">year over year, while management highlighted double-digit productivity improvement in NAST and a more than 50% increase in NAST shipments per person per day since year-end 2022.</w:t>
      </w:r>
    </w:p>
    <w:p>
      <w:pPr>
        <w:pStyle w:val="BodyText"/>
      </w:pPr>
      <w:r>
        <w:t xml:space="preserve">Management reaffirmed:</w:t>
      </w:r>
    </w:p>
    <w:p>
      <w:pPr>
        <w:pStyle w:val="Compact"/>
        <w:numPr>
          <w:ilvl w:val="0"/>
          <w:numId w:val="1002"/>
        </w:numPr>
      </w:pPr>
      <m:oMath>
        <m:r>
          <m:t>1.25</m:t>
        </m:r>
        <m:r>
          <m:t>b</m:t>
        </m:r>
        <m:r>
          <m:t>i</m:t>
        </m:r>
        <m:r>
          <m:t>l</m:t>
        </m:r>
        <m:r>
          <m:t>l</m:t>
        </m:r>
        <m:r>
          <m:t>i</m:t>
        </m:r>
        <m:r>
          <m:t>o</m:t>
        </m:r>
        <m:r>
          <m:t>n</m:t>
        </m:r>
        <m:r>
          <m:rPr>
            <m:sty m:val="p"/>
          </m:rPr>
          <m:t>–</m:t>
        </m:r>
      </m:oMath>
      <w:r>
        <w:rPr>
          <w:b/>
          <w:bCs/>
        </w:rPr>
        <w:t xml:space="preserve">1.35 billion</w:t>
      </w:r>
      <w:r>
        <w:t xml:space="preserve"> </w:t>
      </w:r>
      <w:r>
        <w:t xml:space="preserve">of 2026 personnel expense;</w:t>
      </w:r>
    </w:p>
    <w:p>
      <w:pPr>
        <w:pStyle w:val="Compact"/>
        <w:numPr>
          <w:ilvl w:val="0"/>
          <w:numId w:val="1002"/>
        </w:numPr>
      </w:pPr>
      <m:oMath>
        <m:r>
          <m:t>540</m:t>
        </m:r>
        <m:r>
          <m:t>m</m:t>
        </m:r>
        <m:r>
          <m:t>i</m:t>
        </m:r>
        <m:r>
          <m:t>l</m:t>
        </m:r>
        <m:r>
          <m:t>l</m:t>
        </m:r>
        <m:r>
          <m:t>i</m:t>
        </m:r>
        <m:r>
          <m:t>o</m:t>
        </m:r>
        <m:r>
          <m:t>n</m:t>
        </m:r>
        <m:r>
          <m:rPr>
            <m:sty m:val="p"/>
          </m:rPr>
          <m:t>–</m:t>
        </m:r>
      </m:oMath>
      <w:r>
        <w:rPr>
          <w:b/>
          <w:bCs/>
        </w:rPr>
        <w:t xml:space="preserve">590 million</w:t>
      </w:r>
      <w:r>
        <w:t xml:space="preserve"> </w:t>
      </w:r>
      <w:r>
        <w:t xml:space="preserve">of SG&amp;A expense, including</w:t>
      </w:r>
      <w:r>
        <w:t xml:space="preserve"> </w:t>
      </w:r>
      <m:oMath>
        <m:r>
          <m:t>95</m:t>
        </m:r>
        <m:r>
          <m:t>m</m:t>
        </m:r>
        <m:r>
          <m:t>i</m:t>
        </m:r>
        <m:r>
          <m:t>l</m:t>
        </m:r>
        <m:r>
          <m:t>l</m:t>
        </m:r>
        <m:r>
          <m:t>i</m:t>
        </m:r>
        <m:r>
          <m:t>o</m:t>
        </m:r>
        <m:r>
          <m:t>n</m:t>
        </m:r>
        <m:r>
          <m:rPr>
            <m:sty m:val="p"/>
          </m:rPr>
          <m:t>–</m:t>
        </m:r>
      </m:oMath>
      <w:r>
        <w:t xml:space="preserve">105 million of depreciation and amortization;</w:t>
      </w:r>
    </w:p>
    <w:p>
      <w:pPr>
        <w:pStyle w:val="Compact"/>
        <w:numPr>
          <w:ilvl w:val="0"/>
          <w:numId w:val="1002"/>
        </w:numPr>
      </w:pPr>
      <m:oMath>
        <m:r>
          <m:t>75</m:t>
        </m:r>
        <m:r>
          <m:t>m</m:t>
        </m:r>
        <m:r>
          <m:t>i</m:t>
        </m:r>
        <m:r>
          <m:t>l</m:t>
        </m:r>
        <m:r>
          <m:t>l</m:t>
        </m:r>
        <m:r>
          <m:t>i</m:t>
        </m:r>
        <m:r>
          <m:t>o</m:t>
        </m:r>
        <m:r>
          <m:t>n</m:t>
        </m:r>
        <m:r>
          <m:rPr>
            <m:sty m:val="p"/>
          </m:rPr>
          <m:t>–</m:t>
        </m:r>
      </m:oMath>
      <w:r>
        <w:rPr>
          <w:b/>
          <w:bCs/>
        </w:rPr>
        <w:t xml:space="preserve">85 million</w:t>
      </w:r>
      <w:r>
        <w:t xml:space="preserve"> </w:t>
      </w:r>
      <w:r>
        <w:t xml:space="preserve">of capital expenditures; and</w:t>
      </w:r>
    </w:p>
    <w:p>
      <w:pPr>
        <w:pStyle w:val="Compact"/>
        <w:numPr>
          <w:ilvl w:val="0"/>
          <w:numId w:val="1002"/>
        </w:numPr>
      </w:pPr>
      <w:r>
        <w:t xml:space="preserve">its</w:t>
      </w:r>
      <w:r>
        <w:t xml:space="preserve"> </w:t>
      </w:r>
      <w:r>
        <w:rPr>
          <w:b/>
          <w:bCs/>
        </w:rPr>
        <w:t xml:space="preserve">$6 adjusted-EPS target</w:t>
      </w:r>
      <w:r>
        <w:t xml:space="preserve">, which management framed as achievable with no market growth assumed.</w:t>
      </w:r>
    </w:p>
    <w:p>
      <w:pPr>
        <w:pStyle w:val="FirstParagraph"/>
      </w:pPr>
      <w:r>
        <w:t xml:space="preserve">The key nuance is timing: management said productivity improvement and sequential personnel-expense reductions should be</w:t>
      </w:r>
      <w:r>
        <w:t xml:space="preserve"> </w:t>
      </w:r>
      <w:r>
        <w:rPr>
          <w:b/>
          <w:bCs/>
        </w:rPr>
        <w:t xml:space="preserve">weighted toward the second half of 2026</w:t>
      </w:r>
      <w:r>
        <w:t xml:space="preserve">.</w:t>
      </w:r>
    </w:p>
    <w:p>
      <w:pPr>
        <w:pStyle w:val="BodyText"/>
      </w:pPr>
      <w:r>
        <w:rPr>
          <w:b/>
          <w:bCs/>
        </w:rPr>
        <w:t xml:space="preserve">What investors need to hear:</w:t>
      </w:r>
      <w:r>
        <w:t xml:space="preserve"> </w:t>
      </w:r>
      <w:r>
        <w:t xml:space="preserve">Whether the 2Q run rate leaves the company on track for that back-half productivity step-up—and whether the opportunity remains driven by sustainable automation and process redesign rather than simply reduced staffing.</w:t>
      </w:r>
    </w:p>
    <w:p>
      <w:r>
        <w:pict>
          <v:rect style="width:0;height:1.5pt" o:hralign="center" o:hrstd="t" o:hr="t"/>
        </w:pict>
      </w:r>
    </w:p>
    <w:bookmarkEnd w:id="11"/>
    <w:bookmarkStart w:id="12" w:name="Xb3e3cc3204797ebae709c8c3a3ac18fc1efd403"/>
    <w:p>
      <w:pPr>
        <w:pStyle w:val="Heading3"/>
      </w:pPr>
      <w:r>
        <w:t xml:space="preserve">3. Global Forwarding is the swing factor outside North American trucking</w:t>
      </w:r>
    </w:p>
    <w:p>
      <w:pPr>
        <w:pStyle w:val="FirstParagraph"/>
      </w:pPr>
      <w:r>
        <w:t xml:space="preserve">Global Forwarding was the weak spot in 1Q:</w:t>
      </w:r>
    </w:p>
    <w:p>
      <w:pPr>
        <w:pStyle w:val="Compact"/>
        <w:numPr>
          <w:ilvl w:val="0"/>
          <w:numId w:val="1003"/>
        </w:numPr>
      </w:pPr>
      <w:r>
        <w:t xml:space="preserve">Revenue declined</w:t>
      </w:r>
      <w:r>
        <w:t xml:space="preserve"> </w:t>
      </w:r>
      <w:r>
        <w:rPr>
          <w:b/>
          <w:bCs/>
        </w:rPr>
        <w:t xml:space="preserve">14.2%</w:t>
      </w:r>
      <w:r>
        <w:t xml:space="preserve"> </w:t>
      </w:r>
      <w:r>
        <w:t xml:space="preserve">year over year.</w:t>
      </w:r>
    </w:p>
    <w:p>
      <w:pPr>
        <w:pStyle w:val="Compact"/>
        <w:numPr>
          <w:ilvl w:val="0"/>
          <w:numId w:val="1003"/>
        </w:numPr>
      </w:pPr>
      <w:r>
        <w:t xml:space="preserve">Adjusted gross profit declined</w:t>
      </w:r>
      <w:r>
        <w:t xml:space="preserve"> </w:t>
      </w:r>
      <w:r>
        <w:rPr>
          <w:b/>
          <w:bCs/>
        </w:rPr>
        <w:t xml:space="preserve">12.1%</w:t>
      </w:r>
      <w:r>
        <w:t xml:space="preserve">.</w:t>
      </w:r>
    </w:p>
    <w:p>
      <w:pPr>
        <w:pStyle w:val="Compact"/>
        <w:numPr>
          <w:ilvl w:val="0"/>
          <w:numId w:val="1003"/>
        </w:numPr>
      </w:pPr>
      <w:r>
        <w:t xml:space="preserve">Operating income declined</w:t>
      </w:r>
      <w:r>
        <w:t xml:space="preserve"> </w:t>
      </w:r>
      <w:r>
        <w:rPr>
          <w:b/>
          <w:bCs/>
        </w:rPr>
        <w:t xml:space="preserve">26.2%</w:t>
      </w:r>
      <w:r>
        <w:t xml:space="preserve">.</w:t>
      </w:r>
    </w:p>
    <w:p>
      <w:pPr>
        <w:pStyle w:val="Compact"/>
        <w:numPr>
          <w:ilvl w:val="0"/>
          <w:numId w:val="1003"/>
        </w:numPr>
      </w:pPr>
      <w:r>
        <w:t xml:space="preserve">Ocean shipment volume declined</w:t>
      </w:r>
      <w:r>
        <w:t xml:space="preserve"> </w:t>
      </w:r>
      <w:r>
        <w:rPr>
          <w:b/>
          <w:bCs/>
        </w:rPr>
        <w:t xml:space="preserve">10.5%</w:t>
      </w:r>
      <w:r>
        <w:t xml:space="preserve">, while ocean gross profit per shipment declined</w:t>
      </w:r>
      <w:r>
        <w:t xml:space="preserve"> </w:t>
      </w:r>
      <w:r>
        <w:rPr>
          <w:b/>
          <w:bCs/>
        </w:rPr>
        <w:t xml:space="preserve">12.5%</w:t>
      </w:r>
      <w:r>
        <w:t xml:space="preserve">.</w:t>
      </w:r>
    </w:p>
    <w:p>
      <w:pPr>
        <w:pStyle w:val="FirstParagraph"/>
      </w:pPr>
      <w:r>
        <w:t xml:space="preserve">Management attributed the backdrop to excess vessel capacity, lower ocean rates, geopolitical disruptions, trade-policy uncertainty, and rerouted shipping networks. It also said direct Middle East exposure was immaterial, although broader knock-on effects on capacity and rates were meaningful.</w:t>
      </w:r>
    </w:p>
    <w:p>
      <w:pPr>
        <w:pStyle w:val="BodyText"/>
      </w:pPr>
      <w:r>
        <w:t xml:space="preserve">The year-ago comparison is relatively demanding: in 2Q25, Global Forwarding delivered</w:t>
      </w:r>
      <w:r>
        <w:t xml:space="preserve"> </w:t>
      </w:r>
      <m:oMath>
        <m:r>
          <m:t>187.6</m:t>
        </m:r>
        <m:r>
          <m:t>m</m:t>
        </m:r>
        <m:r>
          <m:t>i</m:t>
        </m:r>
        <m:r>
          <m:t>l</m:t>
        </m:r>
        <m:r>
          <m:t>l</m:t>
        </m:r>
        <m:r>
          <m:t>i</m:t>
        </m:r>
        <m:r>
          <m:t>o</m:t>
        </m:r>
        <m:r>
          <m:t>n</m:t>
        </m:r>
        <m:r>
          <m:rPr>
            <m:sty m:val="p"/>
          </m:rPr>
          <m:t>*</m:t>
        </m:r>
        <m:r>
          <m:rPr>
            <m:sty m:val="p"/>
          </m:rPr>
          <m:t>*</m:t>
        </m:r>
        <m:r>
          <m:t>o</m:t>
        </m:r>
        <m:r>
          <m:t>f</m:t>
        </m:r>
        <m:r>
          <m:t>a</m:t>
        </m:r>
        <m:r>
          <m:t>d</m:t>
        </m:r>
        <m:r>
          <m:t>j</m:t>
        </m:r>
        <m:r>
          <m:t>u</m:t>
        </m:r>
        <m:r>
          <m:t>s</m:t>
        </m:r>
        <m:r>
          <m:t>t</m:t>
        </m:r>
        <m:r>
          <m:t>e</m:t>
        </m:r>
        <m:r>
          <m:t>d</m:t>
        </m:r>
        <m:r>
          <m:t>g</m:t>
        </m:r>
        <m:r>
          <m:t>r</m:t>
        </m:r>
        <m:r>
          <m:t>o</m:t>
        </m:r>
        <m:r>
          <m:t>s</m:t>
        </m:r>
        <m:r>
          <m:t>s</m:t>
        </m:r>
        <m:r>
          <m:t>p</m:t>
        </m:r>
        <m:r>
          <m:t>r</m:t>
        </m:r>
        <m:r>
          <m:t>o</m:t>
        </m:r>
        <m:r>
          <m:t>f</m:t>
        </m:r>
        <m:r>
          <m:t>i</m:t>
        </m:r>
        <m:r>
          <m:t>t</m:t>
        </m:r>
        <m:r>
          <m:t>a</m:t>
        </m:r>
        <m:r>
          <m:t>n</m:t>
        </m:r>
        <m:r>
          <m:t>d</m:t>
        </m:r>
        <m:r>
          <m:rPr>
            <m:sty m:val="p"/>
          </m:rPr>
          <m:t>*</m:t>
        </m:r>
        <m:r>
          <m:rPr>
            <m:sty m:val="p"/>
          </m:rPr>
          <m:t>*</m:t>
        </m:r>
      </m:oMath>
      <w:r>
        <w:rPr>
          <w:b/>
          <w:bCs/>
        </w:rPr>
        <w:t xml:space="preserve">51.3 million</w:t>
      </w:r>
      <w:r>
        <w:t xml:space="preserve"> </w:t>
      </w:r>
      <w:r>
        <w:t xml:space="preserve">of operating income. Investors should assess whether 2Q26 results show:</w:t>
      </w:r>
    </w:p>
    <w:p>
      <w:pPr>
        <w:pStyle w:val="Compact"/>
        <w:numPr>
          <w:ilvl w:val="0"/>
          <w:numId w:val="1004"/>
        </w:numPr>
      </w:pPr>
      <w:r>
        <w:t xml:space="preserve">stabilization in ocean volumes and per-shipment economics;</w:t>
      </w:r>
    </w:p>
    <w:p>
      <w:pPr>
        <w:pStyle w:val="Compact"/>
        <w:numPr>
          <w:ilvl w:val="0"/>
          <w:numId w:val="1004"/>
        </w:numPr>
      </w:pPr>
      <w:r>
        <w:t xml:space="preserve">progress in customs;</w:t>
      </w:r>
    </w:p>
    <w:p>
      <w:pPr>
        <w:pStyle w:val="Compact"/>
        <w:numPr>
          <w:ilvl w:val="0"/>
          <w:numId w:val="1004"/>
        </w:numPr>
      </w:pPr>
      <w:r>
        <w:t xml:space="preserve">expense discipline; and</w:t>
      </w:r>
    </w:p>
    <w:p>
      <w:pPr>
        <w:pStyle w:val="Compact"/>
        <w:numPr>
          <w:ilvl w:val="0"/>
          <w:numId w:val="1004"/>
        </w:numPr>
      </w:pPr>
      <w:r>
        <w:t xml:space="preserve">early benefit from applying the NAST Lean/AI operating playbook to forwarding.</w:t>
      </w:r>
    </w:p>
    <w:p>
      <w:pPr>
        <w:pStyle w:val="FirstParagraph"/>
      </w:pPr>
      <w:r>
        <w:t xml:space="preserve">A continued deterioration in Forwarding could offset what may otherwise be a favorable NAST cycle.</w:t>
      </w:r>
    </w:p>
    <w:p>
      <w:r>
        <w:pict>
          <v:rect style="width:0;height:1.5pt" o:hralign="center" o:hrstd="t" o:hr="t"/>
        </w:pict>
      </w:r>
    </w:p>
    <w:bookmarkEnd w:id="12"/>
    <w:bookmarkEnd w:id="13"/>
    <w:bookmarkStart w:id="14" w:name="the-legal-verdict-changes-the-setup"/>
    <w:p>
      <w:pPr>
        <w:pStyle w:val="Heading2"/>
      </w:pPr>
      <w:r>
        <w:t xml:space="preserve">The legal verdict changes the setup</w:t>
      </w:r>
    </w:p>
    <w:p>
      <w:pPr>
        <w:pStyle w:val="FirstParagraph"/>
      </w:pPr>
      <w:r>
        <w:t xml:space="preserve">On</w:t>
      </w:r>
      <w:r>
        <w:t xml:space="preserve"> </w:t>
      </w:r>
      <w:r>
        <w:rPr>
          <w:b/>
          <w:bCs/>
        </w:rPr>
        <w:t xml:space="preserve">July 23</w:t>
      </w:r>
      <w:r>
        <w:t xml:space="preserve">, a Dallas County jury issued an advisory verdict that could assess</w:t>
      </w:r>
      <w:r>
        <w:t xml:space="preserve"> </w:t>
      </w:r>
      <w:r>
        <w:rPr>
          <w:b/>
          <w:bCs/>
        </w:rPr>
        <w:t xml:space="preserve">$604 million</w:t>
      </w:r>
      <w:r>
        <w:t xml:space="preserve"> </w:t>
      </w:r>
      <w:r>
        <w:t xml:space="preserve">of compensatory damages against CHRW and two other defendants in a lawsuit involving an independent motor carrier. The company’s filing emphasizes that the verdict remains subject to post-trial proceedings, and that CHRW expects to appeal if a final judgment is entered.</w:t>
      </w:r>
    </w:p>
    <w:p>
      <w:pPr>
        <w:pStyle w:val="BodyText"/>
      </w:pPr>
      <w:r>
        <w:t xml:space="preserve">This is material in context:</w:t>
      </w:r>
    </w:p>
    <w:p>
      <w:pPr>
        <w:pStyle w:val="Compact"/>
        <w:numPr>
          <w:ilvl w:val="0"/>
          <w:numId w:val="1005"/>
        </w:numPr>
      </w:pPr>
      <w:r>
        <w:t xml:space="preserve">CHRW ended 1Q with approximately</w:t>
      </w:r>
      <w:r>
        <w:t xml:space="preserve"> </w:t>
      </w:r>
      <w:r>
        <w:rPr>
          <w:b/>
          <w:bCs/>
        </w:rPr>
        <w:t xml:space="preserve">$1.24 billion of liquidity</w:t>
      </w:r>
      <w:r>
        <w:t xml:space="preserve">.</w:t>
      </w:r>
    </w:p>
    <w:p>
      <w:pPr>
        <w:pStyle w:val="Compact"/>
        <w:numPr>
          <w:ilvl w:val="0"/>
          <w:numId w:val="1005"/>
        </w:numPr>
      </w:pPr>
      <w:r>
        <w:t xml:space="preserve">Net debt to EBITDA was</w:t>
      </w:r>
      <w:r>
        <w:t xml:space="preserve"> </w:t>
      </w:r>
      <w:r>
        <w:rPr>
          <w:b/>
          <w:bCs/>
        </w:rPr>
        <w:t xml:space="preserve">1.32x</w:t>
      </w:r>
      <w:r>
        <w:t xml:space="preserve"> </w:t>
      </w:r>
      <w:r>
        <w:t xml:space="preserve">at quarter-end.</w:t>
      </w:r>
    </w:p>
    <w:p>
      <w:pPr>
        <w:pStyle w:val="Compact"/>
        <w:numPr>
          <w:ilvl w:val="0"/>
          <w:numId w:val="1005"/>
        </w:numPr>
      </w:pPr>
      <w:r>
        <w:t xml:space="preserve">The company had returned</w:t>
      </w:r>
      <w:r>
        <w:t xml:space="preserve"> </w:t>
      </w:r>
      <w:r>
        <w:rPr>
          <w:b/>
          <w:bCs/>
        </w:rPr>
        <w:t xml:space="preserve">$359.8 million</w:t>
      </w:r>
      <w:r>
        <w:t xml:space="preserve"> </w:t>
      </w:r>
      <w:r>
        <w:t xml:space="preserve">to shareholders in 1Q alone, including $280.7 million of repurchases.</w:t>
      </w:r>
    </w:p>
    <w:p>
      <w:pPr>
        <w:pStyle w:val="FirstParagraph"/>
      </w:pPr>
      <w:r>
        <w:t xml:space="preserve">The balance sheet provides capacity, but the issue is larger than immediate liquidity. Investors will want clarity on:</w:t>
      </w:r>
    </w:p>
    <w:p>
      <w:pPr>
        <w:pStyle w:val="Compact"/>
        <w:numPr>
          <w:ilvl w:val="0"/>
          <w:numId w:val="1006"/>
        </w:numPr>
      </w:pPr>
      <w:r>
        <w:t xml:space="preserve">expected insurance recoveries and deductibles;</w:t>
      </w:r>
    </w:p>
    <w:p>
      <w:pPr>
        <w:pStyle w:val="Compact"/>
        <w:numPr>
          <w:ilvl w:val="0"/>
          <w:numId w:val="1006"/>
        </w:numPr>
      </w:pPr>
      <w:r>
        <w:t xml:space="preserve">whether any reserve or charge has been recognized;</w:t>
      </w:r>
    </w:p>
    <w:p>
      <w:pPr>
        <w:pStyle w:val="Compact"/>
        <w:numPr>
          <w:ilvl w:val="0"/>
          <w:numId w:val="1006"/>
        </w:numPr>
      </w:pPr>
      <w:r>
        <w:t xml:space="preserve">the expected timing and process for post-trial motions and appeal;</w:t>
      </w:r>
    </w:p>
    <w:p>
      <w:pPr>
        <w:pStyle w:val="Compact"/>
        <w:numPr>
          <w:ilvl w:val="0"/>
          <w:numId w:val="1006"/>
        </w:numPr>
      </w:pPr>
      <w:r>
        <w:t xml:space="preserve">implications for future insurance costs and contingent-liability exposure; and</w:t>
      </w:r>
    </w:p>
    <w:p>
      <w:pPr>
        <w:pStyle w:val="Compact"/>
        <w:numPr>
          <w:ilvl w:val="0"/>
          <w:numId w:val="1006"/>
        </w:numPr>
      </w:pPr>
      <w:r>
        <w:t xml:space="preserve">whether the company will alter carrier vetting, contracting, or brokerage practices.</w:t>
      </w:r>
    </w:p>
    <w:p>
      <w:pPr>
        <w:pStyle w:val="FirstParagraph"/>
      </w:pPr>
      <w:r>
        <w:t xml:space="preserve">The stock closed at</w:t>
      </w:r>
      <w:r>
        <w:t xml:space="preserve"> </w:t>
      </w:r>
      <w:r>
        <w:rPr>
          <w:b/>
          <w:bCs/>
        </w:rPr>
        <w:t xml:space="preserve">$169.37 on July 28</w:t>
      </w:r>
      <w:r>
        <w:t xml:space="preserve">, down roughly</w:t>
      </w:r>
      <w:r>
        <w:t xml:space="preserve"> </w:t>
      </w:r>
      <w:r>
        <w:rPr>
          <w:b/>
          <w:bCs/>
        </w:rPr>
        <w:t xml:space="preserve">17.6%</w:t>
      </w:r>
      <w:r>
        <w:t xml:space="preserve"> </w:t>
      </w:r>
      <w:r>
        <w:t xml:space="preserve">from its July 23 close, reflecting how quickly the litigation has become the dominant near-term issue.</w:t>
      </w:r>
    </w:p>
    <w:p>
      <w:r>
        <w:pict>
          <v:rect style="width:0;height:1.5pt" o:hralign="center" o:hrstd="t" o:hr="t"/>
        </w:pict>
      </w:r>
    </w:p>
    <w:bookmarkEnd w:id="14"/>
    <w:bookmarkStart w:id="15" w:name="baseline-comparisons"/>
    <w:p>
      <w:pPr>
        <w:pStyle w:val="Heading2"/>
      </w:pPr>
      <w:r>
        <w:t xml:space="preserve">Baseline comparisons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1Q26</w:t>
            </w:r>
          </w:p>
        </w:tc>
        <w:tc>
          <w:tcPr/>
          <w:p>
            <w:pPr>
              <w:pStyle w:val="Compact"/>
              <w:jc w:val="right"/>
            </w:pPr>
            <w:r>
              <w:t xml:space="preserve">2Q25</w:t>
            </w:r>
          </w:p>
        </w:tc>
      </w:tr>
      <w:tr>
        <w:tc>
          <w:tcPr/>
          <w:p>
            <w:pPr>
              <w:pStyle w:val="Compact"/>
            </w:pPr>
            <w:r>
              <w:t xml:space="preserve">Adjusted EPS</w:t>
            </w:r>
          </w:p>
        </w:tc>
        <w:tc>
          <w:tcPr/>
          <w:p>
            <w:pPr>
              <w:pStyle w:val="Compact"/>
              <w:jc w:val="right"/>
            </w:pPr>
            <w:r>
              <w:t xml:space="preserve">$1.35</w:t>
            </w:r>
          </w:p>
        </w:tc>
        <w:tc>
          <w:tcPr/>
          <w:p>
            <w:pPr>
              <w:pStyle w:val="Compact"/>
              <w:jc w:val="right"/>
            </w:pPr>
            <w:r>
              <w:t xml:space="preserve">$1.29</w:t>
            </w:r>
          </w:p>
        </w:tc>
      </w:tr>
      <w:tr>
        <w:tc>
          <w:tcPr/>
          <w:p>
            <w:pPr>
              <w:pStyle w:val="Compact"/>
            </w:pPr>
            <w:r>
              <w:t xml:space="preserve">GAAP EPS</w:t>
            </w:r>
          </w:p>
        </w:tc>
        <w:tc>
          <w:tcPr/>
          <w:p>
            <w:pPr>
              <w:pStyle w:val="Compact"/>
              <w:jc w:val="right"/>
            </w:pPr>
            <w:r>
              <w:t xml:space="preserve">$1.22</w:t>
            </w:r>
          </w:p>
        </w:tc>
        <w:tc>
          <w:tcPr/>
          <w:p>
            <w:pPr>
              <w:pStyle w:val="Compact"/>
              <w:jc w:val="right"/>
            </w:pPr>
            <w:r>
              <w:t xml:space="preserve">$1.26</w:t>
            </w:r>
          </w:p>
        </w:tc>
      </w:tr>
      <w:tr>
        <w:tc>
          <w:tcPr/>
          <w:p>
            <w:pPr>
              <w:pStyle w:val="Compact"/>
            </w:pPr>
            <w:r>
              <w:t xml:space="preserve">Total adjusted gross profit</w:t>
            </w:r>
          </w:p>
        </w:tc>
        <w:tc>
          <w:tcPr/>
          <w:p>
            <w:pPr>
              <w:pStyle w:val="Compact"/>
              <w:jc w:val="right"/>
            </w:pPr>
            <w:r>
              <w:t xml:space="preserve">$660.5M</w:t>
            </w:r>
          </w:p>
        </w:tc>
        <w:tc>
          <w:tcPr/>
          <w:p>
            <w:pPr>
              <w:pStyle w:val="Compact"/>
              <w:jc w:val="right"/>
            </w:pPr>
            <w:r>
              <w:t xml:space="preserve">$693.2M</w:t>
            </w:r>
          </w:p>
        </w:tc>
      </w:tr>
      <w:tr>
        <w:tc>
          <w:tcPr/>
          <w:p>
            <w:pPr>
              <w:pStyle w:val="Compact"/>
            </w:pPr>
            <w:r>
              <w:t xml:space="preserve">Operating income</w:t>
            </w:r>
          </w:p>
        </w:tc>
        <w:tc>
          <w:tcPr/>
          <w:p>
            <w:pPr>
              <w:pStyle w:val="Compact"/>
              <w:jc w:val="right"/>
            </w:pPr>
            <w:r>
              <w:t xml:space="preserve">$175.7M</w:t>
            </w:r>
          </w:p>
        </w:tc>
        <w:tc>
          <w:tcPr/>
          <w:p>
            <w:pPr>
              <w:pStyle w:val="Compact"/>
              <w:jc w:val="right"/>
            </w:pPr>
            <w:r>
              <w:t xml:space="preserve">$215.9M</w:t>
            </w:r>
          </w:p>
        </w:tc>
      </w:tr>
      <w:tr>
        <w:tc>
          <w:tcPr/>
          <w:p>
            <w:pPr>
              <w:pStyle w:val="Compact"/>
            </w:pPr>
            <w:r>
              <w:t xml:space="preserve">NAST adjusted gross profit</w:t>
            </w:r>
          </w:p>
        </w:tc>
        <w:tc>
          <w:tcPr/>
          <w:p>
            <w:pPr>
              <w:pStyle w:val="Compact"/>
              <w:jc w:val="right"/>
            </w:pPr>
            <w:r>
              <w:t xml:space="preserve">$431.1M</w:t>
            </w:r>
          </w:p>
        </w:tc>
        <w:tc>
          <w:tcPr/>
          <w:p>
            <w:pPr>
              <w:pStyle w:val="Compact"/>
              <w:jc w:val="right"/>
            </w:pPr>
            <w:r>
              <w:t xml:space="preserve">$432.2M</w:t>
            </w:r>
          </w:p>
        </w:tc>
      </w:tr>
      <w:tr>
        <w:tc>
          <w:tcPr/>
          <w:p>
            <w:pPr>
              <w:pStyle w:val="Compact"/>
            </w:pPr>
            <w:r>
              <w:t xml:space="preserve">Global Forwarding adjusted gross profit</w:t>
            </w:r>
          </w:p>
        </w:tc>
        <w:tc>
          <w:tcPr/>
          <w:p>
            <w:pPr>
              <w:pStyle w:val="Compact"/>
              <w:jc w:val="right"/>
            </w:pPr>
            <w:r>
              <w:t xml:space="preserve">$162.3M</w:t>
            </w:r>
          </w:p>
        </w:tc>
        <w:tc>
          <w:tcPr/>
          <w:p>
            <w:pPr>
              <w:pStyle w:val="Compact"/>
              <w:jc w:val="right"/>
            </w:pPr>
            <w:r>
              <w:t xml:space="preserve">$187.6M</w:t>
            </w:r>
          </w:p>
        </w:tc>
      </w:tr>
      <w:tr>
        <w:tc>
          <w:tcPr/>
          <w:p>
            <w:pPr>
              <w:pStyle w:val="Compact"/>
            </w:pPr>
            <w:r>
              <w:t xml:space="preserve">NAST adjusted operating margin, excluding restructuring</w:t>
            </w:r>
          </w:p>
        </w:tc>
        <w:tc>
          <w:tcPr/>
          <w:p>
            <w:pPr>
              <w:pStyle w:val="Compact"/>
              <w:jc w:val="right"/>
            </w:pPr>
            <w:r>
              <w:t xml:space="preserve">37.4%</w:t>
            </w:r>
          </w:p>
        </w:tc>
        <w:tc>
          <w:tcPr/>
          <w:p>
            <w:pPr>
              <w:pStyle w:val="Compact"/>
              <w:jc w:val="right"/>
            </w:pPr>
            <w:r>
              <w:t xml:space="preserve">38.1%</w:t>
            </w:r>
          </w:p>
        </w:tc>
      </w:tr>
      <w:tr>
        <w:tc>
          <w:tcPr/>
          <w:p>
            <w:pPr>
              <w:pStyle w:val="Compact"/>
            </w:pPr>
            <w:r>
              <w:t xml:space="preserve">Global Forwarding adjusted operating margin, excluding restructuring</w:t>
            </w:r>
          </w:p>
        </w:tc>
        <w:tc>
          <w:tcPr/>
          <w:p>
            <w:pPr>
              <w:pStyle w:val="Compact"/>
              <w:jc w:val="right"/>
            </w:pPr>
            <w:r>
              <w:t xml:space="preserve">21.1%</w:t>
            </w:r>
          </w:p>
        </w:tc>
        <w:tc>
          <w:tcPr/>
          <w:p>
            <w:pPr>
              <w:pStyle w:val="Compact"/>
              <w:jc w:val="right"/>
            </w:pPr>
            <w:r>
              <w:t xml:space="preserve">28.7%</w:t>
            </w:r>
          </w:p>
        </w:tc>
      </w:tr>
    </w:tbl>
    <w:p>
      <w:pPr>
        <w:pStyle w:val="BodyText"/>
      </w:pPr>
      <w:r>
        <w:t xml:space="preserve">The comparison underscores the setup: a favorable North American rate environment and continued cost execution could support earnings, but Forwarding has a substantial gap to close versus last year’s second-quarter contribution.</w:t>
      </w:r>
    </w:p>
    <w:p>
      <w:r>
        <w:pict>
          <v:rect style="width:0;height:1.5pt" o:hralign="center" o:hrstd="t" o:hr="t"/>
        </w:pict>
      </w:r>
    </w:p>
    <w:bookmarkEnd w:id="15"/>
    <w:bookmarkStart w:id="19" w:name="potential-earnings-scenarios"/>
    <w:p>
      <w:pPr>
        <w:pStyle w:val="Heading2"/>
      </w:pPr>
      <w:r>
        <w:t xml:space="preserve">Potential earnings scenarios</w:t>
      </w:r>
    </w:p>
    <w:bookmarkStart w:id="16" w:name="bull-case"/>
    <w:p>
      <w:pPr>
        <w:pStyle w:val="Heading3"/>
      </w:pPr>
      <w:r>
        <w:t xml:space="preserve">Bull case</w:t>
      </w:r>
    </w:p>
    <w:p>
      <w:pPr>
        <w:pStyle w:val="Compact"/>
        <w:numPr>
          <w:ilvl w:val="0"/>
          <w:numId w:val="1007"/>
        </w:numPr>
      </w:pPr>
      <w:r>
        <w:t xml:space="preserve">NAST volumes improve seasonally and continue to outgrow the market.</w:t>
      </w:r>
    </w:p>
    <w:p>
      <w:pPr>
        <w:pStyle w:val="Compact"/>
        <w:numPr>
          <w:ilvl w:val="0"/>
          <w:numId w:val="1007"/>
        </w:numPr>
      </w:pPr>
      <w:r>
        <w:t xml:space="preserve">Contract repricing and transactional freight selection protect or expand gross-profit dollars.</w:t>
      </w:r>
    </w:p>
    <w:p>
      <w:pPr>
        <w:pStyle w:val="Compact"/>
        <w:numPr>
          <w:ilvl w:val="0"/>
          <w:numId w:val="1007"/>
        </w:numPr>
      </w:pPr>
      <w:r>
        <w:t xml:space="preserve">LTL remains a source of volume and yield strength.</w:t>
      </w:r>
    </w:p>
    <w:p>
      <w:pPr>
        <w:pStyle w:val="Compact"/>
        <w:numPr>
          <w:ilvl w:val="0"/>
          <w:numId w:val="1007"/>
        </w:numPr>
      </w:pPr>
      <w:r>
        <w:t xml:space="preserve">Global Forwarding stabilizes, with better-than-feared ocean economics.</w:t>
      </w:r>
    </w:p>
    <w:p>
      <w:pPr>
        <w:pStyle w:val="Compact"/>
        <w:numPr>
          <w:ilvl w:val="0"/>
          <w:numId w:val="1007"/>
        </w:numPr>
      </w:pPr>
      <w:r>
        <w:t xml:space="preserve">Management reiterates the $6 adjusted-EPS target with confidence.</w:t>
      </w:r>
    </w:p>
    <w:p>
      <w:pPr>
        <w:pStyle w:val="Compact"/>
        <w:numPr>
          <w:ilvl w:val="0"/>
          <w:numId w:val="1007"/>
        </w:numPr>
      </w:pPr>
      <w:r>
        <w:t xml:space="preserve">Legal commentary establishes that insurance, appeals, and liquidity substantially contain the near-term economic risk.</w:t>
      </w:r>
    </w:p>
    <w:bookmarkEnd w:id="16"/>
    <w:bookmarkStart w:id="17" w:name="bear-case"/>
    <w:p>
      <w:pPr>
        <w:pStyle w:val="Heading3"/>
      </w:pPr>
      <w:r>
        <w:t xml:space="preserve">Bear case</w:t>
      </w:r>
    </w:p>
    <w:p>
      <w:pPr>
        <w:pStyle w:val="Compact"/>
        <w:numPr>
          <w:ilvl w:val="0"/>
          <w:numId w:val="1008"/>
        </w:numPr>
      </w:pPr>
      <w:r>
        <w:t xml:space="preserve">Rising carrier costs overwhelm pricing actions, pressuring truckload gross-profit dollars or margin.</w:t>
      </w:r>
    </w:p>
    <w:p>
      <w:pPr>
        <w:pStyle w:val="Compact"/>
        <w:numPr>
          <w:ilvl w:val="0"/>
          <w:numId w:val="1008"/>
        </w:numPr>
      </w:pPr>
      <w:r>
        <w:t xml:space="preserve">Higher fuel surcharges depress reported margin percentage, even if gross-profit dollars hold.</w:t>
      </w:r>
    </w:p>
    <w:p>
      <w:pPr>
        <w:pStyle w:val="Compact"/>
        <w:numPr>
          <w:ilvl w:val="0"/>
          <w:numId w:val="1008"/>
        </w:numPr>
      </w:pPr>
      <w:r>
        <w:t xml:space="preserve">Global Forwarding remains weak on ocean shipment volume and yield.</w:t>
      </w:r>
    </w:p>
    <w:p>
      <w:pPr>
        <w:pStyle w:val="Compact"/>
        <w:numPr>
          <w:ilvl w:val="0"/>
          <w:numId w:val="1008"/>
        </w:numPr>
      </w:pPr>
      <w:r>
        <w:t xml:space="preserve">Personnel savings are delayed, challenging the second-half productivity thesis.</w:t>
      </w:r>
    </w:p>
    <w:p>
      <w:pPr>
        <w:pStyle w:val="Compact"/>
        <w:numPr>
          <w:ilvl w:val="0"/>
          <w:numId w:val="1008"/>
        </w:numPr>
      </w:pPr>
      <w:r>
        <w:t xml:space="preserve">The company provides limited detail on the verdict, insurance coverage, or potential reserves, leaving the legal overhang unresolved.</w:t>
      </w:r>
    </w:p>
    <w:bookmarkEnd w:id="17"/>
    <w:bookmarkStart w:id="18" w:name="most-important-mixed-outcome"/>
    <w:p>
      <w:pPr>
        <w:pStyle w:val="Heading3"/>
      </w:pPr>
      <w:r>
        <w:t xml:space="preserve">Most important “mixed” outcome</w:t>
      </w:r>
    </w:p>
    <w:p>
      <w:pPr>
        <w:pStyle w:val="FirstParagraph"/>
      </w:pPr>
      <w:r>
        <w:t xml:space="preserve">CHRW could produce a respectable operating quarter but still see the stock trade on legal uncertainty. In that scenario, the market is likely to prioritize the specificity and credibility of legal-risk disclosure over a modest EPS beat or miss.</w:t>
      </w:r>
    </w:p>
    <w:p>
      <w:r>
        <w:pict>
          <v:rect style="width:0;height:1.5pt" o:hralign="center" o:hrstd="t" o:hr="t"/>
        </w:pict>
      </w:r>
    </w:p>
    <w:bookmarkEnd w:id="18"/>
    <w:bookmarkEnd w:id="19"/>
    <w:bookmarkStart w:id="20" w:name="questions-for-management"/>
    <w:p>
      <w:pPr>
        <w:pStyle w:val="Heading2"/>
      </w:pPr>
      <w:r>
        <w:t xml:space="preserve">Questions for management</w:t>
      </w:r>
    </w:p>
    <w:p>
      <w:pPr>
        <w:pStyle w:val="Compact"/>
        <w:numPr>
          <w:ilvl w:val="0"/>
          <w:numId w:val="1009"/>
        </w:numPr>
      </w:pPr>
      <w:r>
        <w:rPr>
          <w:b/>
          <w:bCs/>
        </w:rPr>
        <w:t xml:space="preserve">NAST pricing:</w:t>
      </w:r>
      <w:r>
        <w:t xml:space="preserve"> </w:t>
      </w:r>
      <w:r>
        <w:t xml:space="preserve">How did contractual repricing, spot activity, and carrier costs evolve through June and July?</w:t>
      </w:r>
    </w:p>
    <w:p>
      <w:pPr>
        <w:pStyle w:val="Compact"/>
        <w:numPr>
          <w:ilvl w:val="0"/>
          <w:numId w:val="1009"/>
        </w:numPr>
      </w:pPr>
      <w:r>
        <w:rPr>
          <w:b/>
          <w:bCs/>
        </w:rPr>
        <w:t xml:space="preserve">Margin durability:</w:t>
      </w:r>
      <w:r>
        <w:t xml:space="preserve"> </w:t>
      </w:r>
      <w:r>
        <w:t xml:space="preserve">Can NAST maintain gross-profit-per-load performance if spot-rate growth moderates or contract rates catch up?</w:t>
      </w:r>
    </w:p>
    <w:p>
      <w:pPr>
        <w:pStyle w:val="Compact"/>
        <w:numPr>
          <w:ilvl w:val="0"/>
          <w:numId w:val="1009"/>
        </w:numPr>
      </w:pPr>
      <w:r>
        <w:rPr>
          <w:b/>
          <w:bCs/>
        </w:rPr>
        <w:t xml:space="preserve">Volume versus yield:</w:t>
      </w:r>
      <w:r>
        <w:t xml:space="preserve"> </w:t>
      </w:r>
      <w:r>
        <w:t xml:space="preserve">Is CHRW now willing to pursue more freight volume, or does it remain focused on selectively optimizing margin?</w:t>
      </w:r>
    </w:p>
    <w:p>
      <w:pPr>
        <w:pStyle w:val="Compact"/>
        <w:numPr>
          <w:ilvl w:val="0"/>
          <w:numId w:val="1009"/>
        </w:numPr>
      </w:pPr>
      <w:r>
        <w:rPr>
          <w:b/>
          <w:bCs/>
        </w:rPr>
        <w:t xml:space="preserve">Forwarding:</w:t>
      </w:r>
      <w:r>
        <w:t xml:space="preserve"> </w:t>
      </w:r>
      <w:r>
        <w:t xml:space="preserve">Have ocean volume and per-shipment gross-profit trends stabilized from 1Q levels?</w:t>
      </w:r>
    </w:p>
    <w:p>
      <w:pPr>
        <w:pStyle w:val="Compact"/>
        <w:numPr>
          <w:ilvl w:val="0"/>
          <w:numId w:val="1009"/>
        </w:numPr>
      </w:pPr>
      <w:r>
        <w:rPr>
          <w:b/>
          <w:bCs/>
        </w:rPr>
        <w:t xml:space="preserve">Productivity:</w:t>
      </w:r>
      <w:r>
        <w:t xml:space="preserve"> </w:t>
      </w:r>
      <w:r>
        <w:t xml:space="preserve">What specific evidence supports the expected second-half acceleration in productivity and lower personnel expense?</w:t>
      </w:r>
    </w:p>
    <w:p>
      <w:pPr>
        <w:pStyle w:val="Compact"/>
        <w:numPr>
          <w:ilvl w:val="0"/>
          <w:numId w:val="1009"/>
        </w:numPr>
      </w:pPr>
      <w:r>
        <w:rPr>
          <w:b/>
          <w:bCs/>
        </w:rPr>
        <w:t xml:space="preserve">Full-year framework:</w:t>
      </w:r>
      <w:r>
        <w:t xml:space="preserve"> </w:t>
      </w:r>
      <w:r>
        <w:t xml:space="preserve">Does management still view $6 adjusted EPS as attainable without market growth?</w:t>
      </w:r>
    </w:p>
    <w:p>
      <w:pPr>
        <w:pStyle w:val="Compact"/>
        <w:numPr>
          <w:ilvl w:val="0"/>
          <w:numId w:val="1009"/>
        </w:numPr>
      </w:pPr>
      <w:r>
        <w:rPr>
          <w:b/>
          <w:bCs/>
        </w:rPr>
        <w:t xml:space="preserve">Verdict exposure:</w:t>
      </w:r>
      <w:r>
        <w:t xml:space="preserve"> </w:t>
      </w:r>
      <w:r>
        <w:t xml:space="preserve">What insurance coverage, reserves, legal process, and potential cash-flow consequences should investors model?</w:t>
      </w:r>
    </w:p>
    <w:p>
      <w:pPr>
        <w:pStyle w:val="Compact"/>
        <w:numPr>
          <w:ilvl w:val="0"/>
          <w:numId w:val="1009"/>
        </w:numPr>
      </w:pPr>
      <w:r>
        <w:rPr>
          <w:b/>
          <w:bCs/>
        </w:rPr>
        <w:t xml:space="preserve">Capital allocation:</w:t>
      </w:r>
      <w:r>
        <w:t xml:space="preserve"> </w:t>
      </w:r>
      <w:r>
        <w:t xml:space="preserve">Does the verdict affect repurchases, dividends, leverage tolerance, or investment priorities?</w:t>
      </w:r>
    </w:p>
    <w:p>
      <w:r>
        <w:pict>
          <v:rect style="width:0;height:1.5pt" o:hralign="center" o:hrstd="t" o:hr="t"/>
        </w:pict>
      </w:r>
    </w:p>
    <w:bookmarkEnd w:id="20"/>
    <w:bookmarkStart w:id="22" w:name="investment-framing"/>
    <w:p>
      <w:pPr>
        <w:pStyle w:val="Heading2"/>
      </w:pPr>
      <w:r>
        <w:t xml:space="preserve">Investment framing</w:t>
      </w:r>
    </w:p>
    <w:p>
      <w:pPr>
        <w:pStyle w:val="FirstParagraph"/>
      </w:pPr>
      <w:r>
        <w:t xml:space="preserve">CHRW enters the report with a credible operational self-help story and a potentially favorable trucking-cycle backdrop. Its 1Q results showed that the company can preserve profitability despite higher capacity costs, and its productivity agenda provides a route to earnings growth even if end-market demand remains subdued.</w:t>
      </w:r>
    </w:p>
    <w:p>
      <w:pPr>
        <w:pStyle w:val="BodyText"/>
      </w:pPr>
      <w:r>
        <w:t xml:space="preserve">But the July 23 advisory verdict materially changes the event’s character.</w:t>
      </w:r>
      <w:r>
        <w:t xml:space="preserve"> </w:t>
      </w:r>
      <w:r>
        <w:rPr>
          <w:b/>
          <w:bCs/>
        </w:rPr>
        <w:t xml:space="preserve">This report is now a combined operating-execution and risk-management test.</w:t>
      </w:r>
      <w:r>
        <w:t xml:space="preserve"> </w:t>
      </w:r>
      <w:r>
        <w:t xml:space="preserve">Strong NAST results, stable Forwarding, and a reaffirmed earnings framework would be constructive; still, the stock’s near-term direction is likely to depend heavily on whether management can reduce uncertainty around the litigation.</w:t>
      </w:r>
    </w:p>
    <w:bookmarkStart w:id="21" w:name="source-documents"/>
    <w:p>
      <w:pPr>
        <w:pStyle w:val="Heading3"/>
      </w:pPr>
      <w:r>
        <w:t xml:space="preserve">Source documents</w:t>
      </w:r>
    </w:p>
    <w:p>
      <w:pPr>
        <w:pStyle w:val="Compact"/>
        <w:numPr>
          <w:ilvl w:val="0"/>
          <w:numId w:val="1010"/>
        </w:numPr>
      </w:pPr>
      <w:r>
        <w:t xml:space="preserve">C.H. Robinson 1Q26 earnings release and earnings-call transcript, April 29, 2026.</w:t>
      </w:r>
    </w:p>
    <w:p>
      <w:pPr>
        <w:pStyle w:val="Compact"/>
        <w:numPr>
          <w:ilvl w:val="0"/>
          <w:numId w:val="1010"/>
        </w:numPr>
      </w:pPr>
      <w:r>
        <w:t xml:space="preserve">C.H. Robinson 2Q26 earnings date announcement, July 7, 2026.</w:t>
      </w:r>
    </w:p>
    <w:p>
      <w:pPr>
        <w:pStyle w:val="Compact"/>
        <w:numPr>
          <w:ilvl w:val="0"/>
          <w:numId w:val="1010"/>
        </w:numPr>
      </w:pPr>
      <w:r>
        <w:t xml:space="preserve">C.H. Robinson Form 8-K regarding the Dallas County advisory verdict, filed July 24, 2026.</w:t>
      </w:r>
    </w:p>
    <w:p>
      <w:pPr>
        <w:pStyle w:val="Compact"/>
        <w:numPr>
          <w:ilvl w:val="0"/>
          <w:numId w:val="1010"/>
        </w:numPr>
      </w:pPr>
      <w:r>
        <w:t xml:space="preserve">C.H. Robinson 2Q25 earnings release, July 30, 2025.</w:t>
      </w:r>
    </w:p>
    <w:bookmarkEnd w:id="21"/>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2026-07-29T01:47:36Z</dcterms:created>
  <dcterms:modified xsi:type="dcterms:W3CDTF">2026-07-29T01:47:36Z</dcterms:modified>
</cp:coreProperties>
</file>

<file path=docProps/custom.xml><?xml version="1.0" encoding="utf-8"?>
<Properties xmlns="http://schemas.openxmlformats.org/officeDocument/2006/custom-properties" xmlns:vt="http://schemas.openxmlformats.org/officeDocument/2006/docPropsVTypes"/>
</file>