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 Robinson Worldwide, Inc. (CHRW)</w:t>
      </w:r>
    </w:p>
    <w:p>
      <w:r>
        <w:rPr>
          <w:rFonts w:ascii="Calibri" w:hAnsi="Calibri"/>
          <w:i/>
          <w:color w:val="525866"/>
          <w:sz w:val="22"/>
        </w:rPr>
        <w:t>Earnings Preview  |  Q2 2026  |  Reporting: July 29, 2026  |  Prepared: July 28,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is a manageable bar and the freight cycle has turned sharply in CHRW's favor — but the </w:t>
      </w:r>
      <w:r>
        <w:rPr>
          <w:rFonts w:ascii="Calibri" w:hAnsi="Calibri"/>
          <w:b/>
          <w:color w:val="525866"/>
          <w:sz w:val="22"/>
        </w:rPr>
        <w:t>$604M advisory verdict</w:t>
      </w:r>
      <w:r>
        <w:rPr>
          <w:rFonts w:ascii="Calibri" w:hAnsi="Calibri"/>
          <w:color w:val="525866"/>
          <w:sz w:val="22"/>
        </w:rPr>
        <w:t xml:space="preserve"> filed just days before the print is the single biggest wildcard that could overshadow an otherwise strong operational quarter.</w:t>
      </w:r>
    </w:p>
    <w:p>
      <w:r>
        <w:rPr>
          <w:rFonts w:ascii="Calibri" w:hAnsi="Calibri"/>
          <w:color w:val="525866"/>
          <w:sz w:val="22"/>
        </w:rPr>
        <w:t xml:space="preserve">Heading into Q2 2026, the bar for CHRW looks achievable: consensus operating EPS of </w:t>
      </w:r>
      <w:r>
        <w:rPr>
          <w:rFonts w:ascii="Calibri" w:hAnsi="Calibri"/>
          <w:b/>
          <w:color w:val="525866"/>
          <w:sz w:val="22"/>
        </w:rPr>
        <w:t>$1.50</w:t>
      </w:r>
      <w:r>
        <w:rPr>
          <w:rFonts w:ascii="Calibri" w:hAnsi="Calibri"/>
          <w:color w:val="525866"/>
          <w:sz w:val="22"/>
        </w:rPr>
        <w:t xml:space="preserve"> implies modest sequential growth off a solid Q1 beat, and the freight environment has shifted materially in carriers' favor since April. </w:t>
      </w:r>
      <w:r>
        <w:rPr>
          <w:rFonts w:ascii="Calibri" w:hAnsi="Calibri"/>
          <w:b/>
          <w:color w:val="525866"/>
          <w:sz w:val="22"/>
        </w:rPr>
        <w:t>Truckload spot rates surged ~17% YoY for the full year (up from 8% guided just three months prior)</w:t>
      </w:r>
      <w:r>
        <w:rPr>
          <w:rFonts w:ascii="Calibri" w:hAnsi="Calibri"/>
          <w:color w:val="525866"/>
          <w:sz w:val="22"/>
        </w:rPr>
        <w:t xml:space="preserve">, capacity tightened sharply following CDL enforcement actions and the annual road check event in May, and Q2 is seasonally CHRW's strongest NAST quarter — management flagged a 4.5% sequential volume lift as the 10-year Cass average. Management's tone on the April call was confident: they reaffirmed the $6 FY2026 EPS target with zero market growth assumed, expressed satisfaction with Q4/Q1 bid outcomes, and guided for continued repricing discipline into Q2. Estimate revisions have been modestly positive since the Q1 print, with operating EPS for Q2 moving from $1.53 to $1.50 (slight drift lower, likely reflecting fuel surcharge margin noise) while FY2026 consensus of $6.15 sits just above the company's own $6 target — a tight but not stretched bar. The stock rallied ~11% from the April 29 earnings close to its July 21 peak before the July 24 </w:t>
      </w:r>
      <w:r>
        <w:rPr>
          <w:rFonts w:ascii="Calibri" w:hAnsi="Calibri"/>
          <w:b/>
          <w:color w:val="525866"/>
          <w:sz w:val="22"/>
        </w:rPr>
        <w:t>$604M advisory verdict in a Dallas County trucking lawsuit</w:t>
      </w:r>
      <w:r>
        <w:rPr>
          <w:rFonts w:ascii="Calibri" w:hAnsi="Calibri"/>
          <w:color w:val="525866"/>
          <w:sz w:val="22"/>
        </w:rPr>
        <w:t xml:space="preserve"> triggered a sharp ~19% selloff through July 29, resetting the stock well below pre-print levels and creating a binary event risk: if management can credibly frame the verdict as non-final, appealable, and insurance-covered, the print itself could re-anchor the narrative around the strong freight cycle; if the market remains focused on litigation tail risk, even a clean beat may not be enough to stabilize the stock.</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both NAST AGP and operating EPS, with the freight cycle tailwind providing cushion; </w:t>
      </w:r>
      <w:r>
        <w:rPr>
          <w:rFonts w:ascii="Calibri" w:hAnsi="Calibri"/>
          <w:b/>
          <w:color w:val="525866"/>
          <w:sz w:val="22"/>
        </w:rPr>
        <w:t>NAST gross profit and operating margin are the bigger swing factors</w:t>
      </w:r>
      <w:r>
        <w:rPr>
          <w:rFonts w:ascii="Calibri" w:hAnsi="Calibri"/>
          <w:color w:val="525866"/>
          <w:sz w:val="22"/>
        </w:rPr>
        <w:t xml:space="preserve"> given the sharp spot rate acceleration and fuel surcharge dynamics flagged by management.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Operating EPS (Diluted)</w:t>
            </w:r>
          </w:p>
        </w:tc>
        <w:tc>
          <w:tcPr>
            <w:tcW w:type="dxa" w:w="1234"/>
          </w:tcPr>
          <w:p>
            <w:r>
              <w:rPr>
                <w:rFonts w:ascii="Calibri" w:hAnsi="Calibri"/>
                <w:sz w:val="22"/>
              </w:rPr>
              <w:t>$1.35</w:t>
            </w:r>
          </w:p>
        </w:tc>
        <w:tc>
          <w:tcPr>
            <w:tcW w:type="dxa" w:w="1234"/>
          </w:tcPr>
          <w:p>
            <w:r>
              <w:rPr>
                <w:rFonts w:ascii="Calibri" w:hAnsi="Calibri"/>
                <w:sz w:val="22"/>
              </w:rPr>
              <w:t>$1.29</w:t>
            </w:r>
          </w:p>
        </w:tc>
        <w:tc>
          <w:tcPr>
            <w:tcW w:type="dxa" w:w="1234"/>
          </w:tcPr>
          <w:p>
            <w:r>
              <w:rPr>
                <w:rFonts w:ascii="Calibri" w:hAnsi="Calibri"/>
                <w:sz w:val="22"/>
              </w:rPr>
              <w:t>$1.50</w:t>
            </w:r>
          </w:p>
        </w:tc>
        <w:tc>
          <w:tcPr>
            <w:tcW w:type="dxa" w:w="1234"/>
          </w:tcPr>
          <w:p>
            <w:r>
              <w:rPr>
                <w:rFonts w:ascii="Calibri" w:hAnsi="Calibri"/>
                <w:sz w:val="22"/>
              </w:rPr>
              <w:t>+16.3% YoY</w:t>
            </w:r>
          </w:p>
        </w:tc>
        <w:tc>
          <w:tcPr>
            <w:tcW w:type="dxa" w:w="1234"/>
          </w:tcPr>
          <w:p>
            <w:r>
              <w:rPr>
                <w:rFonts w:ascii="Calibri" w:hAnsi="Calibri"/>
                <w:sz w:val="22"/>
              </w:rPr>
              <w:t>~$6.00 FY (implies ~$1.50 Q2)</w:t>
            </w:r>
          </w:p>
        </w:tc>
        <w:tc>
          <w:tcPr>
            <w:tcW w:type="dxa" w:w="1234"/>
          </w:tcPr>
          <w:p>
            <w:r>
              <w:rPr>
                <w:rFonts w:ascii="Calibri" w:hAnsi="Calibri"/>
                <w:sz w:val="22"/>
              </w:rPr>
              <w:t>~Flat to guidance</w:t>
            </w:r>
          </w:p>
        </w:tc>
      </w:tr>
      <w:tr>
        <w:tc>
          <w:tcPr>
            <w:tcW w:type="dxa" w:w="1234"/>
          </w:tcPr>
          <w:p>
            <w:r>
              <w:rPr>
                <w:rFonts w:ascii="Calibri" w:hAnsi="Calibri"/>
                <w:sz w:val="22"/>
              </w:rPr>
              <w:t>Gross Revenue</w:t>
            </w:r>
          </w:p>
        </w:tc>
        <w:tc>
          <w:tcPr>
            <w:tcW w:type="dxa" w:w="1234"/>
          </w:tcPr>
          <w:p>
            <w:r>
              <w:rPr>
                <w:rFonts w:ascii="Calibri" w:hAnsi="Calibri"/>
                <w:sz w:val="22"/>
              </w:rPr>
              <w:t>$4.01B</w:t>
            </w:r>
          </w:p>
        </w:tc>
        <w:tc>
          <w:tcPr>
            <w:tcW w:type="dxa" w:w="1234"/>
          </w:tcPr>
          <w:p>
            <w:r>
              <w:rPr>
                <w:rFonts w:ascii="Calibri" w:hAnsi="Calibri"/>
                <w:sz w:val="22"/>
              </w:rPr>
              <w:t>$4.14B</w:t>
            </w:r>
          </w:p>
        </w:tc>
        <w:tc>
          <w:tcPr>
            <w:tcW w:type="dxa" w:w="1234"/>
          </w:tcPr>
          <w:p>
            <w:r>
              <w:rPr>
                <w:rFonts w:ascii="Calibri" w:hAnsi="Calibri"/>
                <w:sz w:val="22"/>
              </w:rPr>
              <w:t>$4.38B</w:t>
            </w:r>
          </w:p>
        </w:tc>
        <w:tc>
          <w:tcPr>
            <w:tcW w:type="dxa" w:w="1234"/>
          </w:tcPr>
          <w:p>
            <w:r>
              <w:rPr>
                <w:rFonts w:ascii="Calibri" w:hAnsi="Calibri"/>
                <w:sz w:val="22"/>
              </w:rPr>
              <w:t>+5.9%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NAST Gross Revenue</w:t>
            </w:r>
          </w:p>
        </w:tc>
        <w:tc>
          <w:tcPr>
            <w:tcW w:type="dxa" w:w="1234"/>
          </w:tcPr>
          <w:p>
            <w:r>
              <w:rPr>
                <w:rFonts w:ascii="Calibri" w:hAnsi="Calibri"/>
                <w:sz w:val="22"/>
              </w:rPr>
              <w:t>$2.95B</w:t>
            </w:r>
          </w:p>
        </w:tc>
        <w:tc>
          <w:tcPr>
            <w:tcW w:type="dxa" w:w="1234"/>
          </w:tcPr>
          <w:p>
            <w:r>
              <w:rPr>
                <w:rFonts w:ascii="Calibri" w:hAnsi="Calibri"/>
                <w:sz w:val="22"/>
              </w:rPr>
              <w:t>$2.92B</w:t>
            </w:r>
          </w:p>
        </w:tc>
        <w:tc>
          <w:tcPr>
            <w:tcW w:type="dxa" w:w="1234"/>
          </w:tcPr>
          <w:p>
            <w:r>
              <w:rPr>
                <w:rFonts w:ascii="Calibri" w:hAnsi="Calibri"/>
                <w:sz w:val="22"/>
              </w:rPr>
              <w:t>$3.19B</w:t>
            </w:r>
          </w:p>
        </w:tc>
        <w:tc>
          <w:tcPr>
            <w:tcW w:type="dxa" w:w="1234"/>
          </w:tcPr>
          <w:p>
            <w:r>
              <w:rPr>
                <w:rFonts w:ascii="Calibri" w:hAnsi="Calibri"/>
                <w:sz w:val="22"/>
              </w:rPr>
              <w:t>+9.4%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Global Forwarding Gross Revenue</w:t>
            </w:r>
          </w:p>
        </w:tc>
        <w:tc>
          <w:tcPr>
            <w:tcW w:type="dxa" w:w="1234"/>
          </w:tcPr>
          <w:p>
            <w:r>
              <w:rPr>
                <w:rFonts w:ascii="Calibri" w:hAnsi="Calibri"/>
                <w:sz w:val="22"/>
              </w:rPr>
              <w:t>$0.66B</w:t>
            </w:r>
          </w:p>
        </w:tc>
        <w:tc>
          <w:tcPr>
            <w:tcW w:type="dxa" w:w="1234"/>
          </w:tcPr>
          <w:p>
            <w:r>
              <w:rPr>
                <w:rFonts w:ascii="Calibri" w:hAnsi="Calibri"/>
                <w:sz w:val="22"/>
              </w:rPr>
              <w:t>$0.80B</w:t>
            </w:r>
          </w:p>
        </w:tc>
        <w:tc>
          <w:tcPr>
            <w:tcW w:type="dxa" w:w="1234"/>
          </w:tcPr>
          <w:p>
            <w:r>
              <w:rPr>
                <w:rFonts w:ascii="Calibri" w:hAnsi="Calibri"/>
                <w:sz w:val="22"/>
              </w:rPr>
              <w:t>$0.74B</w:t>
            </w:r>
          </w:p>
        </w:tc>
        <w:tc>
          <w:tcPr>
            <w:tcW w:type="dxa" w:w="1234"/>
          </w:tcPr>
          <w:p>
            <w:r>
              <w:rPr>
                <w:rFonts w:ascii="Calibri" w:hAnsi="Calibri"/>
                <w:sz w:val="22"/>
              </w:rPr>
              <w:t>-6.7%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Gross Profit (AGP) — Total Operating</w:t>
            </w:r>
          </w:p>
        </w:tc>
        <w:tc>
          <w:tcPr>
            <w:tcW w:type="dxa" w:w="1234"/>
          </w:tcPr>
          <w:p>
            <w:r>
              <w:rPr>
                <w:rFonts w:ascii="Calibri" w:hAnsi="Calibri"/>
                <w:sz w:val="22"/>
              </w:rPr>
              <w:t>$660.5M</w:t>
            </w:r>
          </w:p>
        </w:tc>
        <w:tc>
          <w:tcPr>
            <w:tcW w:type="dxa" w:w="1234"/>
          </w:tcPr>
          <w:p>
            <w:r>
              <w:rPr>
                <w:rFonts w:ascii="Calibri" w:hAnsi="Calibri"/>
                <w:sz w:val="22"/>
              </w:rPr>
              <w:t>$693.2M</w:t>
            </w:r>
          </w:p>
        </w:tc>
        <w:tc>
          <w:tcPr>
            <w:tcW w:type="dxa" w:w="1234"/>
          </w:tcPr>
          <w:p>
            <w:r>
              <w:rPr>
                <w:rFonts w:ascii="Calibri" w:hAnsi="Calibri"/>
                <w:sz w:val="22"/>
              </w:rPr>
              <w:t>$713.5M</w:t>
            </w:r>
          </w:p>
        </w:tc>
        <w:tc>
          <w:tcPr>
            <w:tcW w:type="dxa" w:w="1234"/>
          </w:tcPr>
          <w:p>
            <w:r>
              <w:rPr>
                <w:rFonts w:ascii="Calibri" w:hAnsi="Calibri"/>
                <w:sz w:val="22"/>
              </w:rPr>
              <w:t>+3.0%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NAST Gross Profit (AGP)</w:t>
            </w:r>
          </w:p>
        </w:tc>
        <w:tc>
          <w:tcPr>
            <w:tcW w:type="dxa" w:w="1234"/>
          </w:tcPr>
          <w:p>
            <w:r>
              <w:rPr>
                <w:rFonts w:ascii="Calibri" w:hAnsi="Calibri"/>
                <w:sz w:val="22"/>
              </w:rPr>
              <w:t>$431.1M</w:t>
            </w:r>
          </w:p>
        </w:tc>
        <w:tc>
          <w:tcPr>
            <w:tcW w:type="dxa" w:w="1234"/>
          </w:tcPr>
          <w:p>
            <w:r>
              <w:rPr>
                <w:rFonts w:ascii="Calibri" w:hAnsi="Calibri"/>
                <w:sz w:val="22"/>
              </w:rPr>
              <w:t>$432.2M</w:t>
            </w:r>
          </w:p>
        </w:tc>
        <w:tc>
          <w:tcPr>
            <w:tcW w:type="dxa" w:w="1234"/>
          </w:tcPr>
          <w:p>
            <w:r>
              <w:rPr>
                <w:rFonts w:ascii="Calibri" w:hAnsi="Calibri"/>
                <w:sz w:val="22"/>
              </w:rPr>
              <w:t>$455.6M</w:t>
            </w:r>
          </w:p>
        </w:tc>
        <w:tc>
          <w:tcPr>
            <w:tcW w:type="dxa" w:w="1234"/>
          </w:tcPr>
          <w:p>
            <w:r>
              <w:rPr>
                <w:rFonts w:ascii="Calibri" w:hAnsi="Calibri"/>
                <w:sz w:val="22"/>
              </w:rPr>
              <w:t>+5.4%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Global Forwarding Gross Profit (AGP)</w:t>
            </w:r>
          </w:p>
        </w:tc>
        <w:tc>
          <w:tcPr>
            <w:tcW w:type="dxa" w:w="1234"/>
          </w:tcPr>
          <w:p>
            <w:r>
              <w:rPr>
                <w:rFonts w:ascii="Calibri" w:hAnsi="Calibri"/>
                <w:sz w:val="22"/>
              </w:rPr>
              <w:t>$162.3M</w:t>
            </w:r>
          </w:p>
        </w:tc>
        <w:tc>
          <w:tcPr>
            <w:tcW w:type="dxa" w:w="1234"/>
          </w:tcPr>
          <w:p>
            <w:r>
              <w:rPr>
                <w:rFonts w:ascii="Calibri" w:hAnsi="Calibri"/>
                <w:sz w:val="22"/>
              </w:rPr>
              <w:t>$187.6M</w:t>
            </w:r>
          </w:p>
        </w:tc>
        <w:tc>
          <w:tcPr>
            <w:tcW w:type="dxa" w:w="1234"/>
          </w:tcPr>
          <w:p>
            <w:r>
              <w:rPr>
                <w:rFonts w:ascii="Calibri" w:hAnsi="Calibri"/>
                <w:sz w:val="22"/>
              </w:rPr>
              <w:t>$181.2M</w:t>
            </w:r>
          </w:p>
        </w:tc>
        <w:tc>
          <w:tcPr>
            <w:tcW w:type="dxa" w:w="1234"/>
          </w:tcPr>
          <w:p>
            <w:r>
              <w:rPr>
                <w:rFonts w:ascii="Calibri" w:hAnsi="Calibri"/>
                <w:sz w:val="22"/>
              </w:rPr>
              <w:t>-3.4%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Operating Income (Operating)</w:t>
            </w:r>
          </w:p>
        </w:tc>
        <w:tc>
          <w:tcPr>
            <w:tcW w:type="dxa" w:w="1234"/>
          </w:tcPr>
          <w:p>
            <w:r>
              <w:rPr>
                <w:rFonts w:ascii="Calibri" w:hAnsi="Calibri"/>
                <w:sz w:val="22"/>
              </w:rPr>
              <w:t>$195.9M</w:t>
            </w:r>
          </w:p>
        </w:tc>
        <w:tc>
          <w:tcPr>
            <w:tcW w:type="dxa" w:w="1234"/>
          </w:tcPr>
          <w:p>
            <w:r>
              <w:rPr>
                <w:rFonts w:ascii="Calibri" w:hAnsi="Calibri"/>
                <w:sz w:val="22"/>
              </w:rPr>
              <w:t>$220.2M</w:t>
            </w:r>
          </w:p>
        </w:tc>
        <w:tc>
          <w:tcPr>
            <w:tcW w:type="dxa" w:w="1234"/>
          </w:tcPr>
          <w:p>
            <w:r>
              <w:rPr>
                <w:rFonts w:ascii="Calibri" w:hAnsi="Calibri"/>
                <w:sz w:val="22"/>
              </w:rPr>
              <w:t>$241.6M</w:t>
            </w:r>
          </w:p>
        </w:tc>
        <w:tc>
          <w:tcPr>
            <w:tcW w:type="dxa" w:w="1234"/>
          </w:tcPr>
          <w:p>
            <w:r>
              <w:rPr>
                <w:rFonts w:ascii="Calibri" w:hAnsi="Calibri"/>
                <w:sz w:val="22"/>
              </w:rPr>
              <w:t>+9.7% YoY</w:t>
            </w:r>
          </w:p>
        </w:tc>
        <w:tc>
          <w:tcPr>
            <w:tcW w:type="dxa" w:w="1234"/>
          </w:tcPr>
          <w:p>
            <w:r>
              <w:rPr>
                <w:rFonts w:ascii="Calibri" w:hAnsi="Calibri"/>
                <w:sz w:val="22"/>
              </w:rPr>
              <w:t>$965M–$1.04B FY</w:t>
            </w:r>
          </w:p>
        </w:tc>
        <w:tc>
          <w:tcPr>
            <w:tcW w:type="dxa" w:w="1234"/>
          </w:tcPr>
          <w:p>
            <w:r>
              <w:rPr>
                <w:rFonts w:ascii="Calibri" w:hAnsi="Calibri"/>
                <w:sz w:val="22"/>
              </w:rPr>
              <w:t>~Inline (FY cons. $960M)</w:t>
            </w:r>
          </w:p>
        </w:tc>
      </w:tr>
      <w:tr>
        <w:tc>
          <w:tcPr>
            <w:tcW w:type="dxa" w:w="1234"/>
          </w:tcPr>
          <w:p>
            <w:r>
              <w:rPr>
                <w:rFonts w:ascii="Calibri" w:hAnsi="Calibri"/>
                <w:sz w:val="22"/>
              </w:rPr>
              <w:t>NAST Operating Margin (%)</w:t>
            </w:r>
          </w:p>
        </w:tc>
        <w:tc>
          <w:tcPr>
            <w:tcW w:type="dxa" w:w="1234"/>
          </w:tcPr>
          <w:p>
            <w:r>
              <w:rPr>
                <w:rFonts w:ascii="Calibri" w:hAnsi="Calibri"/>
                <w:sz w:val="22"/>
              </w:rPr>
              <w:t>5.47%</w:t>
            </w:r>
          </w:p>
        </w:tc>
        <w:tc>
          <w:tcPr>
            <w:tcW w:type="dxa" w:w="1234"/>
          </w:tcPr>
          <w:p>
            <w:r>
              <w:rPr>
                <w:rFonts w:ascii="Calibri" w:hAnsi="Calibri"/>
                <w:sz w:val="22"/>
              </w:rPr>
              <w:t>5.64%</w:t>
            </w:r>
          </w:p>
        </w:tc>
        <w:tc>
          <w:tcPr>
            <w:tcW w:type="dxa" w:w="1234"/>
          </w:tcPr>
          <w:p>
            <w:r>
              <w:rPr>
                <w:rFonts w:ascii="Calibri" w:hAnsi="Calibri"/>
                <w:sz w:val="22"/>
              </w:rPr>
              <w:t>5.87%</w:t>
            </w:r>
          </w:p>
        </w:tc>
        <w:tc>
          <w:tcPr>
            <w:tcW w:type="dxa" w:w="1234"/>
          </w:tcPr>
          <w:p>
            <w:r>
              <w:rPr>
                <w:rFonts w:ascii="Calibri" w:hAnsi="Calibri"/>
                <w:sz w:val="22"/>
              </w:rPr>
              <w:t>+23 bps YoY</w:t>
            </w:r>
          </w:p>
        </w:tc>
        <w:tc>
          <w:tcPr>
            <w:tcW w:type="dxa" w:w="1234"/>
          </w:tcPr>
          <w:p>
            <w:r>
              <w:rPr>
                <w:rFonts w:ascii="Calibri" w:hAnsi="Calibri"/>
                <w:sz w:val="22"/>
              </w:rPr>
              <w:t>Mid-cycle target 40% gross margin</w:t>
            </w:r>
          </w:p>
        </w:tc>
        <w:tc>
          <w:tcPr>
            <w:tcW w:type="dxa" w:w="1234"/>
          </w:tcPr>
          <w:p>
            <w:r>
              <w:rPr>
                <w:rFonts w:ascii="Calibri" w:hAnsi="Calibri"/>
                <w:sz w:val="22"/>
              </w:rPr>
              <w:t>N/A (different metric)</w:t>
            </w:r>
          </w:p>
        </w:tc>
      </w:tr>
      <w:tr>
        <w:tc>
          <w:tcPr>
            <w:tcW w:type="dxa" w:w="1234"/>
          </w:tcPr>
          <w:p>
            <w:r>
              <w:rPr>
                <w:rFonts w:ascii="Calibri" w:hAnsi="Calibri"/>
                <w:sz w:val="22"/>
              </w:rPr>
              <w:t>Global Forwarding Operating Margin (%)</w:t>
            </w:r>
          </w:p>
        </w:tc>
        <w:tc>
          <w:tcPr>
            <w:tcW w:type="dxa" w:w="1234"/>
          </w:tcPr>
          <w:p>
            <w:r>
              <w:rPr>
                <w:rFonts w:ascii="Calibri" w:hAnsi="Calibri"/>
                <w:sz w:val="22"/>
              </w:rPr>
              <w:t>5.14%</w:t>
            </w:r>
          </w:p>
        </w:tc>
        <w:tc>
          <w:tcPr>
            <w:tcW w:type="dxa" w:w="1234"/>
          </w:tcPr>
          <w:p>
            <w:r>
              <w:rPr>
                <w:rFonts w:ascii="Calibri" w:hAnsi="Calibri"/>
                <w:sz w:val="22"/>
              </w:rPr>
              <w:t>6.76%</w:t>
            </w:r>
          </w:p>
        </w:tc>
        <w:tc>
          <w:tcPr>
            <w:tcW w:type="dxa" w:w="1234"/>
          </w:tcPr>
          <w:p>
            <w:r>
              <w:rPr>
                <w:rFonts w:ascii="Calibri" w:hAnsi="Calibri"/>
                <w:sz w:val="22"/>
              </w:rPr>
              <w:t>6.70%</w:t>
            </w:r>
          </w:p>
        </w:tc>
        <w:tc>
          <w:tcPr>
            <w:tcW w:type="dxa" w:w="1234"/>
          </w:tcPr>
          <w:p>
            <w:r>
              <w:rPr>
                <w:rFonts w:ascii="Calibri" w:hAnsi="Calibri"/>
                <w:sz w:val="22"/>
              </w:rPr>
              <w:t>-6 bps YoY</w:t>
            </w:r>
          </w:p>
        </w:tc>
        <w:tc>
          <w:tcPr>
            <w:tcW w:type="dxa" w:w="1234"/>
          </w:tcPr>
          <w:p>
            <w:r>
              <w:rPr>
                <w:rFonts w:ascii="Calibri" w:hAnsi="Calibri"/>
                <w:sz w:val="22"/>
              </w:rPr>
              <w:t>Mid-cycle target 30% gross margin</w:t>
            </w:r>
          </w:p>
        </w:tc>
        <w:tc>
          <w:tcPr>
            <w:tcW w:type="dxa" w:w="1234"/>
          </w:tcPr>
          <w:p>
            <w:r>
              <w:rPr>
                <w:rFonts w:ascii="Calibri" w:hAnsi="Calibri"/>
                <w:sz w:val="22"/>
              </w:rPr>
              <w:t>N/A (different metric)</w:t>
            </w:r>
          </w:p>
        </w:tc>
      </w:tr>
    </w:tbl>
    <w:p>
      <w:r>
        <w:rPr>
          <w:rFonts w:ascii="Calibri" w:hAnsi="Calibri"/>
          <w:i/>
          <w:color w:val="525866"/>
          <w:sz w:val="22"/>
        </w:rPr>
        <w:t>Source: Visible Alpha Consensus and Actuals Data. All actuals from VA; consensus as of latest available (July 28, 2026). Q1 2026 actuals used as "last quarter." Q2 2025 actuals used as "prior year period."</w:t>
      </w:r>
    </w:p>
    <w:p>
      <w:pPr>
        <w:pStyle w:val="Heading3"/>
      </w:pPr>
      <w:r>
        <w:rPr>
          <w:rFonts w:ascii="Calibri" w:hAnsi="Calibri"/>
          <w:b/>
          <w:color w:val="3B4259"/>
          <w:sz w:val="24"/>
        </w:rPr>
        <w:t>Table 2 — Beat/Miss History (Last 8 Quarters)</w:t>
      </w:r>
    </w:p>
    <w:p>
      <w:r>
        <w:rPr>
          <w:rFonts w:ascii="Calibri" w:hAnsi="Calibri"/>
          <w:b/>
          <w:color w:val="525866"/>
          <w:sz w:val="22"/>
        </w:rPr>
        <w:t>Top KPI #1: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$1.35</w:t>
            </w:r>
          </w:p>
        </w:tc>
        <w:tc>
          <w:tcPr>
            <w:tcW w:type="dxa" w:w="1728"/>
          </w:tcPr>
          <w:p>
            <w:r>
              <w:rPr>
                <w:rFonts w:ascii="Calibri" w:hAnsi="Calibri"/>
                <w:sz w:val="22"/>
              </w:rPr>
              <w:t>$1.25</w:t>
            </w:r>
          </w:p>
        </w:tc>
        <w:tc>
          <w:tcPr>
            <w:tcW w:type="dxa" w:w="1728"/>
          </w:tcPr>
          <w:p>
            <w:r>
              <w:rPr>
                <w:rFonts w:ascii="Calibri" w:hAnsi="Calibri"/>
                <w:sz w:val="22"/>
              </w:rPr>
              <w:t>+8.0%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$1.23</w:t>
            </w:r>
          </w:p>
        </w:tc>
        <w:tc>
          <w:tcPr>
            <w:tcW w:type="dxa" w:w="1728"/>
          </w:tcPr>
          <w:p>
            <w:r>
              <w:rPr>
                <w:rFonts w:ascii="Calibri" w:hAnsi="Calibri"/>
                <w:sz w:val="22"/>
              </w:rPr>
              <w:t>$1.12</w:t>
            </w:r>
          </w:p>
        </w:tc>
        <w:tc>
          <w:tcPr>
            <w:tcW w:type="dxa" w:w="1728"/>
          </w:tcPr>
          <w:p>
            <w:r>
              <w:rPr>
                <w:rFonts w:ascii="Calibri" w:hAnsi="Calibri"/>
                <w:sz w:val="22"/>
              </w:rPr>
              <w:t>+9.8%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$1.40</w:t>
            </w:r>
          </w:p>
        </w:tc>
        <w:tc>
          <w:tcPr>
            <w:tcW w:type="dxa" w:w="1728"/>
          </w:tcPr>
          <w:p>
            <w:r>
              <w:rPr>
                <w:rFonts w:ascii="Calibri" w:hAnsi="Calibri"/>
                <w:sz w:val="22"/>
              </w:rPr>
              <w:t>$1.30</w:t>
            </w:r>
          </w:p>
        </w:tc>
        <w:tc>
          <w:tcPr>
            <w:tcW w:type="dxa" w:w="1728"/>
          </w:tcPr>
          <w:p>
            <w:r>
              <w:rPr>
                <w:rFonts w:ascii="Calibri" w:hAnsi="Calibri"/>
                <w:sz w:val="22"/>
              </w:rPr>
              <w:t>+7.7%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$1.29</w:t>
            </w:r>
          </w:p>
        </w:tc>
        <w:tc>
          <w:tcPr>
            <w:tcW w:type="dxa" w:w="1728"/>
          </w:tcPr>
          <w:p>
            <w:r>
              <w:rPr>
                <w:rFonts w:ascii="Calibri" w:hAnsi="Calibri"/>
                <w:sz w:val="22"/>
              </w:rPr>
              <w:t>$1.16</w:t>
            </w:r>
          </w:p>
        </w:tc>
        <w:tc>
          <w:tcPr>
            <w:tcW w:type="dxa" w:w="1728"/>
          </w:tcPr>
          <w:p>
            <w:r>
              <w:rPr>
                <w:rFonts w:ascii="Calibri" w:hAnsi="Calibri"/>
                <w:sz w:val="22"/>
              </w:rPr>
              <w:t>+11.2%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$1.17</w:t>
            </w:r>
          </w:p>
        </w:tc>
        <w:tc>
          <w:tcPr>
            <w:tcW w:type="dxa" w:w="1728"/>
          </w:tcPr>
          <w:p>
            <w:r>
              <w:rPr>
                <w:rFonts w:ascii="Calibri" w:hAnsi="Calibri"/>
                <w:sz w:val="22"/>
              </w:rPr>
              <w:t>$1.06</w:t>
            </w:r>
          </w:p>
        </w:tc>
        <w:tc>
          <w:tcPr>
            <w:tcW w:type="dxa" w:w="1728"/>
          </w:tcPr>
          <w:p>
            <w:r>
              <w:rPr>
                <w:rFonts w:ascii="Calibri" w:hAnsi="Calibri"/>
                <w:sz w:val="22"/>
              </w:rPr>
              <w:t>+10.4%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$1.21</w:t>
            </w:r>
          </w:p>
        </w:tc>
        <w:tc>
          <w:tcPr>
            <w:tcW w:type="dxa" w:w="1728"/>
          </w:tcPr>
          <w:p>
            <w:r>
              <w:rPr>
                <w:rFonts w:ascii="Calibri" w:hAnsi="Calibri"/>
                <w:sz w:val="22"/>
              </w:rPr>
              <w:t>$1.10</w:t>
            </w:r>
          </w:p>
        </w:tc>
        <w:tc>
          <w:tcPr>
            <w:tcW w:type="dxa" w:w="1728"/>
          </w:tcPr>
          <w:p>
            <w:r>
              <w:rPr>
                <w:rFonts w:ascii="Calibri" w:hAnsi="Calibri"/>
                <w:sz w:val="22"/>
              </w:rPr>
              <w:t>+10.0%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$1.28</w:t>
            </w:r>
          </w:p>
        </w:tc>
        <w:tc>
          <w:tcPr>
            <w:tcW w:type="dxa" w:w="1728"/>
          </w:tcPr>
          <w:p>
            <w:r>
              <w:rPr>
                <w:rFonts w:ascii="Calibri" w:hAnsi="Calibri"/>
                <w:sz w:val="22"/>
              </w:rPr>
              <w:t>$1.17</w:t>
            </w:r>
          </w:p>
        </w:tc>
        <w:tc>
          <w:tcPr>
            <w:tcW w:type="dxa" w:w="1728"/>
          </w:tcPr>
          <w:p>
            <w:r>
              <w:rPr>
                <w:rFonts w:ascii="Calibri" w:hAnsi="Calibri"/>
                <w:sz w:val="22"/>
              </w:rPr>
              <w:t>+9.4%</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$1.15</w:t>
            </w:r>
          </w:p>
        </w:tc>
        <w:tc>
          <w:tcPr>
            <w:tcW w:type="dxa" w:w="1728"/>
          </w:tcPr>
          <w:p>
            <w:r>
              <w:rPr>
                <w:rFonts w:ascii="Calibri" w:hAnsi="Calibri"/>
                <w:sz w:val="22"/>
              </w:rPr>
              <w:t>$0.96</w:t>
            </w:r>
          </w:p>
        </w:tc>
        <w:tc>
          <w:tcPr>
            <w:tcW w:type="dxa" w:w="1728"/>
          </w:tcPr>
          <w:p>
            <w:r>
              <w:rPr>
                <w:rFonts w:ascii="Calibri" w:hAnsi="Calibri"/>
                <w:sz w:val="22"/>
              </w:rPr>
              <w:t>+19.8%</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CHRW has beaten operating EPS consensus in each of the last 8 consecutive quarters, with surprise magnitudes ranging from ~8% to ~20% — the street has consistently underestimated the company's margin execution and productivity gains during the Lean AI transformation. Source: Visible Alpha Consensus and Actuals Data.</w:t>
      </w:r>
    </w:p>
    <w:p>
      <w:r>
        <w:rPr>
          <w:rFonts w:ascii="Calibri" w:hAnsi="Calibri"/>
          <w:b/>
          <w:color w:val="525866"/>
          <w:sz w:val="22"/>
        </w:rPr>
        <w:t>Top KPI #2: NAST Gross Profit (AGP)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$431.1M</w:t>
            </w:r>
          </w:p>
        </w:tc>
        <w:tc>
          <w:tcPr>
            <w:tcW w:type="dxa" w:w="1728"/>
          </w:tcPr>
          <w:p>
            <w:r>
              <w:rPr>
                <w:rFonts w:ascii="Calibri" w:hAnsi="Calibri"/>
                <w:sz w:val="22"/>
              </w:rPr>
              <w:t>$423.4M</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$411.6M</w:t>
            </w:r>
          </w:p>
        </w:tc>
        <w:tc>
          <w:tcPr>
            <w:tcW w:type="dxa" w:w="1728"/>
          </w:tcPr>
          <w:p>
            <w:r>
              <w:rPr>
                <w:rFonts w:ascii="Calibri" w:hAnsi="Calibri"/>
                <w:sz w:val="22"/>
              </w:rPr>
              <w:t>$423.8M</w:t>
            </w:r>
          </w:p>
        </w:tc>
        <w:tc>
          <w:tcPr>
            <w:tcW w:type="dxa" w:w="1728"/>
          </w:tcPr>
          <w:p>
            <w:r>
              <w:rPr>
                <w:rFonts w:ascii="Calibri" w:hAnsi="Calibri"/>
                <w:sz w:val="22"/>
              </w:rPr>
              <w:t>-2.9%</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$444.1M</w:t>
            </w:r>
          </w:p>
        </w:tc>
        <w:tc>
          <w:tcPr>
            <w:tcW w:type="dxa" w:w="1728"/>
          </w:tcPr>
          <w:p>
            <w:r>
              <w:rPr>
                <w:rFonts w:ascii="Calibri" w:hAnsi="Calibri"/>
                <w:sz w:val="22"/>
              </w:rPr>
              <w:t>$434.1M</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$432.2M</w:t>
            </w:r>
          </w:p>
        </w:tc>
        <w:tc>
          <w:tcPr>
            <w:tcW w:type="dxa" w:w="1728"/>
          </w:tcPr>
          <w:p>
            <w:r>
              <w:rPr>
                <w:rFonts w:ascii="Calibri" w:hAnsi="Calibri"/>
                <w:sz w:val="22"/>
              </w:rPr>
              <w:t>$431.8M</w:t>
            </w:r>
          </w:p>
        </w:tc>
        <w:tc>
          <w:tcPr>
            <w:tcW w:type="dxa" w:w="1728"/>
          </w:tcPr>
          <w:p>
            <w:r>
              <w:rPr>
                <w:rFonts w:ascii="Calibri" w:hAnsi="Calibri"/>
                <w:sz w:val="22"/>
              </w:rPr>
              <w:t>+0.1%</w:t>
            </w:r>
          </w:p>
        </w:tc>
        <w:tc>
          <w:tcPr>
            <w:tcW w:type="dxa" w:w="1728"/>
          </w:tcPr>
          <w:p>
            <w:r>
              <w:rPr>
                <w:rFonts w:ascii="Calibri" w:hAnsi="Calibri"/>
                <w:b/>
                <w:color w:val="30A46C"/>
                <w:sz w:val="22"/>
              </w:rPr>
              <w:t>Inline</w:t>
            </w:r>
          </w:p>
        </w:tc>
      </w:tr>
      <w:tr>
        <w:tc>
          <w:tcPr>
            <w:tcW w:type="dxa" w:w="1728"/>
          </w:tcPr>
          <w:p>
            <w:r>
              <w:rPr>
                <w:rFonts w:ascii="Calibri" w:hAnsi="Calibri"/>
                <w:sz w:val="22"/>
              </w:rPr>
              <w:t>Q1 2025</w:t>
            </w:r>
          </w:p>
        </w:tc>
        <w:tc>
          <w:tcPr>
            <w:tcW w:type="dxa" w:w="1728"/>
          </w:tcPr>
          <w:p>
            <w:r>
              <w:rPr>
                <w:rFonts w:ascii="Calibri" w:hAnsi="Calibri"/>
                <w:sz w:val="22"/>
              </w:rPr>
              <w:t>$418.3M</w:t>
            </w:r>
          </w:p>
        </w:tc>
        <w:tc>
          <w:tcPr>
            <w:tcW w:type="dxa" w:w="1728"/>
          </w:tcPr>
          <w:p>
            <w:r>
              <w:rPr>
                <w:rFonts w:ascii="Calibri" w:hAnsi="Calibri"/>
                <w:sz w:val="22"/>
              </w:rPr>
              <w:t>$404.9M</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$403.8M</w:t>
            </w:r>
          </w:p>
        </w:tc>
        <w:tc>
          <w:tcPr>
            <w:tcW w:type="dxa" w:w="1728"/>
          </w:tcPr>
          <w:p>
            <w:r>
              <w:rPr>
                <w:rFonts w:ascii="Calibri" w:hAnsi="Calibri"/>
                <w:sz w:val="22"/>
              </w:rPr>
              <w:t>$410.1M</w:t>
            </w:r>
          </w:p>
        </w:tc>
        <w:tc>
          <w:tcPr>
            <w:tcW w:type="dxa" w:w="1728"/>
          </w:tcPr>
          <w:p>
            <w:r>
              <w:rPr>
                <w:rFonts w:ascii="Calibri" w:hAnsi="Calibri"/>
                <w:sz w:val="22"/>
              </w:rPr>
              <w:t>-1.5%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$420.7M</w:t>
            </w:r>
          </w:p>
        </w:tc>
        <w:tc>
          <w:tcPr>
            <w:tcW w:type="dxa" w:w="1728"/>
          </w:tcPr>
          <w:p>
            <w:r>
              <w:rPr>
                <w:rFonts w:ascii="Calibri" w:hAnsi="Calibri"/>
                <w:sz w:val="22"/>
              </w:rPr>
              <w:t>$420.0M</w:t>
            </w:r>
          </w:p>
        </w:tc>
        <w:tc>
          <w:tcPr>
            <w:tcW w:type="dxa" w:w="1728"/>
          </w:tcPr>
          <w:p>
            <w:r>
              <w:rPr>
                <w:rFonts w:ascii="Calibri" w:hAnsi="Calibri"/>
                <w:sz w:val="22"/>
              </w:rPr>
              <w:t>+0.2%</w:t>
            </w:r>
          </w:p>
        </w:tc>
        <w:tc>
          <w:tcPr>
            <w:tcW w:type="dxa" w:w="1728"/>
          </w:tcPr>
          <w:p>
            <w:r>
              <w:rPr>
                <w:rFonts w:ascii="Calibri" w:hAnsi="Calibri"/>
                <w:b/>
                <w:color w:val="30A46C"/>
                <w:sz w:val="22"/>
              </w:rPr>
              <w:t>Inline</w:t>
            </w:r>
          </w:p>
        </w:tc>
      </w:tr>
      <w:tr>
        <w:tc>
          <w:tcPr>
            <w:tcW w:type="dxa" w:w="1728"/>
          </w:tcPr>
          <w:p>
            <w:r>
              <w:rPr>
                <w:rFonts w:ascii="Calibri" w:hAnsi="Calibri"/>
                <w:sz w:val="22"/>
              </w:rPr>
              <w:t>Q2 2024</w:t>
            </w:r>
          </w:p>
        </w:tc>
        <w:tc>
          <w:tcPr>
            <w:tcW w:type="dxa" w:w="1728"/>
          </w:tcPr>
          <w:p>
            <w:r>
              <w:rPr>
                <w:rFonts w:ascii="Calibri" w:hAnsi="Calibri"/>
                <w:sz w:val="22"/>
              </w:rPr>
              <w:t>$419.7M</w:t>
            </w:r>
          </w:p>
        </w:tc>
        <w:tc>
          <w:tcPr>
            <w:tcW w:type="dxa" w:w="1728"/>
          </w:tcPr>
          <w:p>
            <w:r>
              <w:rPr>
                <w:rFonts w:ascii="Calibri" w:hAnsi="Calibri"/>
                <w:sz w:val="22"/>
              </w:rPr>
              <w:t>$404.2M</w:t>
            </w:r>
          </w:p>
        </w:tc>
        <w:tc>
          <w:tcPr>
            <w:tcW w:type="dxa" w:w="1728"/>
          </w:tcPr>
          <w:p>
            <w:r>
              <w:rPr>
                <w:rFonts w:ascii="Calibri" w:hAnsi="Calibri"/>
                <w:sz w:val="22"/>
              </w:rPr>
              <w:t>+3.8%</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NAST AGP beats are more mixed than EPS — the metric has missed in two of the last eight quarters (Q4 2024 and Q4 2025), typically in seasonally weaker periods when spot cost spikes compress gross margin. The Q2 2026 consensus of $455.6M implies a meaningful step-up vs. Q2 2025 ($432.2M), consistent with the spot rate acceleration management flagged. 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Management's guidance has been unchanged since the Q1 2026 call — the $6 FY2026 EPS target and $965M–$1.04B operating income range remain intact — but the </w:t>
      </w:r>
      <w:r>
        <w:rPr>
          <w:rFonts w:ascii="Calibri" w:hAnsi="Calibri"/>
          <w:b/>
          <w:color w:val="525866"/>
          <w:sz w:val="22"/>
        </w:rPr>
        <w:t>tone has shifted from cautious confidence to active cycle management</w:t>
      </w:r>
      <w:r>
        <w:rPr>
          <w:rFonts w:ascii="Calibri" w:hAnsi="Calibri"/>
          <w:color w:val="525866"/>
          <w:sz w:val="22"/>
        </w:rPr>
        <w:t>, with the spot rate forecast raised sharply and agentic AI deployment in Global Forwarding expected to accelerate in H2.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Operating Income</w:t>
            </w:r>
          </w:p>
        </w:tc>
        <w:tc>
          <w:tcPr>
            <w:tcW w:type="dxa" w:w="1728"/>
          </w:tcPr>
          <w:p>
            <w:r>
              <w:rPr>
                <w:rFonts w:ascii="Calibri" w:hAnsi="Calibri"/>
                <w:sz w:val="22"/>
              </w:rPr>
              <w:t>$965M – $1.04B</w:t>
            </w:r>
          </w:p>
        </w:tc>
        <w:tc>
          <w:tcPr>
            <w:tcW w:type="dxa" w:w="1728"/>
          </w:tcPr>
          <w:p>
            <w:r>
              <w:rPr>
                <w:rFonts w:ascii="Calibri" w:hAnsi="Calibri"/>
                <w:sz w:val="22"/>
              </w:rPr>
              <w:t>—</w:t>
            </w:r>
          </w:p>
        </w:tc>
        <w:tc>
          <w:tcPr>
            <w:tcW w:type="dxa" w:w="1728"/>
          </w:tcPr>
          <w:p>
            <w:r>
              <w:rPr>
                <w:rFonts w:ascii="Calibri" w:hAnsi="Calibri"/>
                <w:sz w:val="22"/>
              </w:rPr>
              <w:t>$959.9M</w:t>
            </w:r>
          </w:p>
        </w:tc>
        <w:tc>
          <w:tcPr>
            <w:tcW w:type="dxa" w:w="1728"/>
          </w:tcPr>
          <w:p>
            <w:r>
              <w:rPr>
                <w:rFonts w:ascii="Calibri" w:hAnsi="Calibri"/>
                <w:sz w:val="22"/>
              </w:rPr>
              <w:t>Unchanged; consensus sits just below midpoint of range</w:t>
            </w:r>
          </w:p>
        </w:tc>
      </w:tr>
      <w:tr>
        <w:tc>
          <w:tcPr>
            <w:tcW w:type="dxa" w:w="1728"/>
          </w:tcPr>
          <w:p>
            <w:r>
              <w:rPr>
                <w:rFonts w:ascii="Calibri" w:hAnsi="Calibri"/>
                <w:sz w:val="22"/>
              </w:rPr>
              <w:t>FY2026 Operating EPS</w:t>
            </w:r>
          </w:p>
        </w:tc>
        <w:tc>
          <w:tcPr>
            <w:tcW w:type="dxa" w:w="1728"/>
          </w:tcPr>
          <w:p>
            <w:r>
              <w:rPr>
                <w:rFonts w:ascii="Calibri" w:hAnsi="Calibri"/>
                <w:sz w:val="22"/>
              </w:rPr>
              <w:t>$6.00 (zero market growth assumed)</w:t>
            </w:r>
          </w:p>
        </w:tc>
        <w:tc>
          <w:tcPr>
            <w:tcW w:type="dxa" w:w="1728"/>
          </w:tcPr>
          <w:p>
            <w:r>
              <w:rPr>
                <w:rFonts w:ascii="Calibri" w:hAnsi="Calibri"/>
                <w:sz w:val="22"/>
              </w:rPr>
              <w:t>—</w:t>
            </w:r>
          </w:p>
        </w:tc>
        <w:tc>
          <w:tcPr>
            <w:tcW w:type="dxa" w:w="1728"/>
          </w:tcPr>
          <w:p>
            <w:r>
              <w:rPr>
                <w:rFonts w:ascii="Calibri" w:hAnsi="Calibri"/>
                <w:sz w:val="22"/>
              </w:rPr>
              <w:t>$6.15</w:t>
            </w:r>
          </w:p>
        </w:tc>
        <w:tc>
          <w:tcPr>
            <w:tcW w:type="dxa" w:w="1728"/>
          </w:tcPr>
          <w:p>
            <w:r>
              <w:rPr>
                <w:rFonts w:ascii="Calibri" w:hAnsi="Calibri"/>
                <w:sz w:val="22"/>
              </w:rPr>
              <w:t>Unchanged; consensus slightly above company target, reflecting cycle tailwind</w:t>
            </w:r>
          </w:p>
        </w:tc>
      </w:tr>
      <w:tr>
        <w:tc>
          <w:tcPr>
            <w:tcW w:type="dxa" w:w="1728"/>
          </w:tcPr>
          <w:p>
            <w:r>
              <w:rPr>
                <w:rFonts w:ascii="Calibri" w:hAnsi="Calibri"/>
                <w:sz w:val="22"/>
              </w:rPr>
              <w:t>FY2026 Personnel Expenses</w:t>
            </w:r>
          </w:p>
        </w:tc>
        <w:tc>
          <w:tcPr>
            <w:tcW w:type="dxa" w:w="1728"/>
          </w:tcPr>
          <w:p>
            <w:r>
              <w:rPr>
                <w:rFonts w:ascii="Calibri" w:hAnsi="Calibri"/>
                <w:sz w:val="22"/>
              </w:rPr>
              <w:t>$1.25B – $1.35B</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double-digit productivity gains expected, over-indexed to H2</w:t>
            </w:r>
          </w:p>
        </w:tc>
      </w:tr>
      <w:tr>
        <w:tc>
          <w:tcPr>
            <w:tcW w:type="dxa" w:w="1728"/>
          </w:tcPr>
          <w:p>
            <w:r>
              <w:rPr>
                <w:rFonts w:ascii="Calibri" w:hAnsi="Calibri"/>
                <w:sz w:val="22"/>
              </w:rPr>
              <w:t>FY2026 SG&amp;A Expenses</w:t>
            </w:r>
          </w:p>
        </w:tc>
        <w:tc>
          <w:tcPr>
            <w:tcW w:type="dxa" w:w="1728"/>
          </w:tcPr>
          <w:p>
            <w:r>
              <w:rPr>
                <w:rFonts w:ascii="Calibri" w:hAnsi="Calibri"/>
                <w:sz w:val="22"/>
              </w:rPr>
              <w:t>$540M – $590M (incl. D&amp;A of $95M–$105M)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FY2026 CapEx</w:t>
            </w:r>
          </w:p>
        </w:tc>
        <w:tc>
          <w:tcPr>
            <w:tcW w:type="dxa" w:w="1728"/>
          </w:tcPr>
          <w:p>
            <w:r>
              <w:rPr>
                <w:rFonts w:ascii="Calibri" w:hAnsi="Calibri"/>
                <w:sz w:val="22"/>
              </w:rPr>
              <w:t>$75M – $85M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FY2026 Effective Tax Rate</w:t>
            </w:r>
          </w:p>
        </w:tc>
        <w:tc>
          <w:tcPr>
            <w:tcW w:type="dxa" w:w="1728"/>
          </w:tcPr>
          <w:p>
            <w:r>
              <w:rPr>
                <w:rFonts w:ascii="Calibri" w:hAnsi="Calibri"/>
                <w:sz w:val="22"/>
              </w:rPr>
              <w:t>18% – 20%</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FY2026 Dry Van Spot Rate Growth</w:t>
            </w:r>
          </w:p>
        </w:tc>
        <w:tc>
          <w:tcPr>
            <w:tcW w:type="dxa" w:w="1728"/>
          </w:tcPr>
          <w:p>
            <w:r>
              <w:rPr>
                <w:rFonts w:ascii="Calibri" w:hAnsi="Calibri"/>
                <w:sz w:val="22"/>
              </w:rPr>
              <w:t>~17% YoY (raised from ~8% three months prior)</w:t>
            </w:r>
          </w:p>
        </w:tc>
        <w:tc>
          <w:tcPr>
            <w:tcW w:type="dxa" w:w="1728"/>
          </w:tcPr>
          <w:p>
            <w:r>
              <w:rPr>
                <w:rFonts w:ascii="Calibri" w:hAnsi="Calibri"/>
                <w:sz w:val="22"/>
              </w:rPr>
              <w:t>—</w:t>
            </w:r>
          </w:p>
        </w:tc>
        <w:tc>
          <w:tcPr>
            <w:tcW w:type="dxa" w:w="1728"/>
          </w:tcPr>
          <w:p>
            <w:r>
              <w:rPr>
                <w:rFonts w:ascii="Calibri" w:hAnsi="Calibri"/>
                <w:sz w:val="22"/>
              </w:rPr>
              <w:t>N/A — macro input</w:t>
            </w:r>
          </w:p>
        </w:tc>
        <w:tc>
          <w:tcPr>
            <w:tcW w:type="dxa" w:w="1728"/>
          </w:tcPr>
          <w:p>
            <w:r>
              <w:rPr>
                <w:rFonts w:ascii="Calibri" w:hAnsi="Calibri"/>
                <w:sz w:val="22"/>
              </w:rPr>
              <w:t>↑ Raised sharply on Q1 call; driven by CDL enforcement, winter storms, structural supply imbalance</w:t>
            </w:r>
          </w:p>
        </w:tc>
      </w:tr>
      <w:tr>
        <w:tc>
          <w:tcPr>
            <w:tcW w:type="dxa" w:w="1728"/>
          </w:tcPr>
          <w:p>
            <w:r>
              <w:rPr>
                <w:rFonts w:ascii="Calibri" w:hAnsi="Calibri"/>
                <w:sz w:val="22"/>
              </w:rPr>
              <w:t>Q2 2026 Qualitative Outlook</w:t>
            </w:r>
          </w:p>
        </w:tc>
        <w:tc>
          <w:tcPr>
            <w:tcW w:type="dxa" w:w="1728"/>
          </w:tcPr>
          <w:p>
            <w:r>
              <w:rPr>
                <w:rFonts w:ascii="Calibri" w:hAnsi="Calibri"/>
                <w:sz w:val="22"/>
              </w:rPr>
              <w:t>Seasonally stronger vs. Q1; spot rates remain elevated; fuel surcharge headwind to margin % (not $ GP); pleased with bid outcomes; expect to gain share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Constructive tone; no formal Q2 guidance issued</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broadly stable since the Q1 print with a slight downward drift on Q2 EPS (from $1.53 to $1.50), likely reflecting fuel surcharge margin noise rather than fundamental deterioration; </w:t>
      </w:r>
      <w:r>
        <w:rPr>
          <w:rFonts w:ascii="Calibri" w:hAnsi="Calibri"/>
          <w:b/>
          <w:color w:val="525866"/>
          <w:sz w:val="22"/>
        </w:rPr>
        <w:t>FY2026 consensus of $6.15 sits modestly above the company's own $6 target</w:t>
      </w:r>
      <w:r>
        <w:rPr>
          <w:rFonts w:ascii="Calibri" w:hAnsi="Calibri"/>
          <w:color w:val="525866"/>
          <w:sz w:val="22"/>
        </w:rPr>
        <w:t>, suggesting the street is pricing in some cycle upside — a cushion that could expand further if Q2 execution is clean.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4,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Operating EPS — Q2 2026</w:t>
            </w:r>
          </w:p>
        </w:tc>
        <w:tc>
          <w:tcPr>
            <w:tcW w:type="dxa" w:w="1080"/>
          </w:tcPr>
          <w:p>
            <w:r>
              <w:rPr>
                <w:rFonts w:ascii="Calibri" w:hAnsi="Calibri"/>
                <w:sz w:val="22"/>
              </w:rPr>
              <w:t>$1.53</w:t>
            </w:r>
          </w:p>
        </w:tc>
        <w:tc>
          <w:tcPr>
            <w:tcW w:type="dxa" w:w="1080"/>
          </w:tcPr>
          <w:p>
            <w:r>
              <w:rPr>
                <w:rFonts w:ascii="Calibri" w:hAnsi="Calibri"/>
                <w:sz w:val="22"/>
              </w:rPr>
              <w:t>$1.50</w:t>
            </w:r>
          </w:p>
        </w:tc>
        <w:tc>
          <w:tcPr>
            <w:tcW w:type="dxa" w:w="1080"/>
          </w:tcPr>
          <w:p>
            <w:r>
              <w:rPr>
                <w:rFonts w:ascii="Calibri" w:hAnsi="Calibri"/>
                <w:b/>
                <w:color w:val="E5484D"/>
                <w:sz w:val="22"/>
              </w:rPr>
              <w:t>-1.9%</w:t>
            </w:r>
          </w:p>
        </w:tc>
        <w:tc>
          <w:tcPr>
            <w:tcW w:type="dxa" w:w="1080"/>
          </w:tcPr>
          <w:p>
            <w:r>
              <w:rPr>
                <w:rFonts w:ascii="Calibri" w:hAnsi="Calibri"/>
                <w:sz w:val="22"/>
              </w:rPr>
              <w:t>No Q2 guidance; FY $6.00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guidance)</w:t>
            </w:r>
          </w:p>
        </w:tc>
      </w:tr>
      <w:tr>
        <w:tc>
          <w:tcPr>
            <w:tcW w:type="dxa" w:w="1080"/>
          </w:tcPr>
          <w:p>
            <w:r>
              <w:rPr>
                <w:rFonts w:ascii="Calibri" w:hAnsi="Calibri"/>
                <w:sz w:val="22"/>
              </w:rPr>
              <w:t>Operating EPS — FY2026</w:t>
            </w:r>
          </w:p>
        </w:tc>
        <w:tc>
          <w:tcPr>
            <w:tcW w:type="dxa" w:w="1080"/>
          </w:tcPr>
          <w:p>
            <w:r>
              <w:rPr>
                <w:rFonts w:ascii="Calibri" w:hAnsi="Calibri"/>
                <w:sz w:val="22"/>
              </w:rPr>
              <w:t>$6.18</w:t>
            </w:r>
          </w:p>
        </w:tc>
        <w:tc>
          <w:tcPr>
            <w:tcW w:type="dxa" w:w="1080"/>
          </w:tcPr>
          <w:p>
            <w:r>
              <w:rPr>
                <w:rFonts w:ascii="Calibri" w:hAnsi="Calibri"/>
                <w:sz w:val="22"/>
              </w:rPr>
              <w:t>$6.15</w:t>
            </w:r>
          </w:p>
        </w:tc>
        <w:tc>
          <w:tcPr>
            <w:tcW w:type="dxa" w:w="1080"/>
          </w:tcPr>
          <w:p>
            <w:r>
              <w:rPr>
                <w:rFonts w:ascii="Calibri" w:hAnsi="Calibri"/>
                <w:sz w:val="22"/>
              </w:rPr>
              <w:t>-0.5%</w:t>
            </w:r>
          </w:p>
        </w:tc>
        <w:tc>
          <w:tcPr>
            <w:tcW w:type="dxa" w:w="1080"/>
          </w:tcPr>
          <w:p>
            <w:r>
              <w:rPr>
                <w:rFonts w:ascii="Calibri" w:hAnsi="Calibri"/>
                <w:sz w:val="22"/>
              </w:rPr>
              <w:t>$6.00</w:t>
            </w:r>
          </w:p>
        </w:tc>
        <w:tc>
          <w:tcPr>
            <w:tcW w:type="dxa" w:w="1080"/>
          </w:tcPr>
          <w:p>
            <w:r>
              <w:rPr>
                <w:rFonts w:ascii="Calibri" w:hAnsi="Calibri"/>
                <w:sz w:val="22"/>
              </w:rPr>
              <w:t>$6.00 (unchanged)</w:t>
            </w:r>
          </w:p>
        </w:tc>
        <w:tc>
          <w:tcPr>
            <w:tcW w:type="dxa" w:w="1080"/>
          </w:tcPr>
          <w:p>
            <w:r>
              <w:rPr>
                <w:rFonts w:ascii="Calibri" w:hAnsi="Calibri"/>
                <w:sz w:val="22"/>
              </w:rPr>
              <w:t>Flat</w:t>
            </w:r>
          </w:p>
        </w:tc>
        <w:tc>
          <w:tcPr>
            <w:tcW w:type="dxa" w:w="1080"/>
          </w:tcPr>
          <w:p>
            <w:r>
              <w:rPr>
                <w:rFonts w:ascii="Calibri" w:hAnsi="Calibri"/>
                <w:sz w:val="22"/>
              </w:rPr>
              <w:t>+2.5% above guidance</w:t>
            </w:r>
          </w:p>
        </w:tc>
      </w:tr>
      <w:tr>
        <w:tc>
          <w:tcPr>
            <w:tcW w:type="dxa" w:w="1080"/>
          </w:tcPr>
          <w:p>
            <w:r>
              <w:rPr>
                <w:rFonts w:ascii="Calibri" w:hAnsi="Calibri"/>
                <w:sz w:val="22"/>
              </w:rPr>
              <w:t>Total Gross Profit (AGP) — Q2 2026</w:t>
            </w:r>
          </w:p>
        </w:tc>
        <w:tc>
          <w:tcPr>
            <w:tcW w:type="dxa" w:w="1080"/>
          </w:tcPr>
          <w:p>
            <w:r>
              <w:rPr>
                <w:rFonts w:ascii="Calibri" w:hAnsi="Calibri"/>
                <w:sz w:val="22"/>
              </w:rPr>
              <w:t>$711.0M</w:t>
            </w:r>
          </w:p>
        </w:tc>
        <w:tc>
          <w:tcPr>
            <w:tcW w:type="dxa" w:w="1080"/>
          </w:tcPr>
          <w:p>
            <w:r>
              <w:rPr>
                <w:rFonts w:ascii="Calibri" w:hAnsi="Calibri"/>
                <w:sz w:val="22"/>
              </w:rPr>
              <w:t>$713.5M</w:t>
            </w:r>
          </w:p>
        </w:tc>
        <w:tc>
          <w:tcPr>
            <w:tcW w:type="dxa" w:w="1080"/>
          </w:tcPr>
          <w:p>
            <w:r>
              <w:rPr>
                <w:rFonts w:ascii="Calibri" w:hAnsi="Calibri"/>
                <w:b/>
                <w:color w:val="30A46C"/>
                <w:sz w:val="22"/>
              </w:rPr>
              <w:t>+0.4%</w:t>
            </w:r>
          </w:p>
        </w:tc>
        <w:tc>
          <w:tcPr>
            <w:tcW w:type="dxa" w:w="1080"/>
          </w:tcPr>
          <w:p>
            <w:r>
              <w:rPr>
                <w:rFonts w:ascii="Calibri" w:hAnsi="Calibri"/>
                <w:sz w:val="22"/>
              </w:rPr>
              <w:t>No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Gross Profit (AGP) — FY2026</w:t>
            </w:r>
          </w:p>
        </w:tc>
        <w:tc>
          <w:tcPr>
            <w:tcW w:type="dxa" w:w="1080"/>
          </w:tcPr>
          <w:p>
            <w:r>
              <w:rPr>
                <w:rFonts w:ascii="Calibri" w:hAnsi="Calibri"/>
                <w:sz w:val="22"/>
              </w:rPr>
              <w:t>$2,831.4M</w:t>
            </w:r>
          </w:p>
        </w:tc>
        <w:tc>
          <w:tcPr>
            <w:tcW w:type="dxa" w:w="1080"/>
          </w:tcPr>
          <w:p>
            <w:r>
              <w:rPr>
                <w:rFonts w:ascii="Calibri" w:hAnsi="Calibri"/>
                <w:sz w:val="22"/>
              </w:rPr>
              <w:t>$2,835.2M</w:t>
            </w:r>
          </w:p>
        </w:tc>
        <w:tc>
          <w:tcPr>
            <w:tcW w:type="dxa" w:w="1080"/>
          </w:tcPr>
          <w:p>
            <w:r>
              <w:rPr>
                <w:rFonts w:ascii="Calibri" w:hAnsi="Calibri"/>
                <w:sz w:val="22"/>
              </w:rPr>
              <w:t>+0.1%</w:t>
            </w:r>
          </w:p>
        </w:tc>
        <w:tc>
          <w:tcPr>
            <w:tcW w:type="dxa" w:w="1080"/>
          </w:tcPr>
          <w:p>
            <w:r>
              <w:rPr>
                <w:rFonts w:ascii="Calibri" w:hAnsi="Calibri"/>
                <w:sz w:val="22"/>
              </w:rPr>
              <w:t>No FY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NAST Gross Profit (AGP) — Q2 2026</w:t>
            </w:r>
          </w:p>
        </w:tc>
        <w:tc>
          <w:tcPr>
            <w:tcW w:type="dxa" w:w="1080"/>
          </w:tcPr>
          <w:p>
            <w:r>
              <w:rPr>
                <w:rFonts w:ascii="Calibri" w:hAnsi="Calibri"/>
                <w:sz w:val="22"/>
              </w:rPr>
              <w:t>$459.4M</w:t>
            </w:r>
          </w:p>
        </w:tc>
        <w:tc>
          <w:tcPr>
            <w:tcW w:type="dxa" w:w="1080"/>
          </w:tcPr>
          <w:p>
            <w:r>
              <w:rPr>
                <w:rFonts w:ascii="Calibri" w:hAnsi="Calibri"/>
                <w:sz w:val="22"/>
              </w:rPr>
              <w:t>$455.6M</w:t>
            </w:r>
          </w:p>
        </w:tc>
        <w:tc>
          <w:tcPr>
            <w:tcW w:type="dxa" w:w="1080"/>
          </w:tcPr>
          <w:p>
            <w:r>
              <w:rPr>
                <w:rFonts w:ascii="Calibri" w:hAnsi="Calibri"/>
                <w:sz w:val="22"/>
              </w:rPr>
              <w:t>-0.8%</w:t>
            </w:r>
          </w:p>
        </w:tc>
        <w:tc>
          <w:tcPr>
            <w:tcW w:type="dxa" w:w="1080"/>
          </w:tcPr>
          <w:p>
            <w:r>
              <w:rPr>
                <w:rFonts w:ascii="Calibri" w:hAnsi="Calibri"/>
                <w:sz w:val="22"/>
              </w:rPr>
              <w:t>No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Income — Q2 2026</w:t>
            </w:r>
          </w:p>
        </w:tc>
        <w:tc>
          <w:tcPr>
            <w:tcW w:type="dxa" w:w="1080"/>
          </w:tcPr>
          <w:p>
            <w:r>
              <w:rPr>
                <w:rFonts w:ascii="Calibri" w:hAnsi="Calibri"/>
                <w:sz w:val="22"/>
              </w:rPr>
              <w:t>$245.2M</w:t>
            </w:r>
          </w:p>
        </w:tc>
        <w:tc>
          <w:tcPr>
            <w:tcW w:type="dxa" w:w="1080"/>
          </w:tcPr>
          <w:p>
            <w:r>
              <w:rPr>
                <w:rFonts w:ascii="Calibri" w:hAnsi="Calibri"/>
                <w:sz w:val="22"/>
              </w:rPr>
              <w:t>$241.6M</w:t>
            </w:r>
          </w:p>
        </w:tc>
        <w:tc>
          <w:tcPr>
            <w:tcW w:type="dxa" w:w="1080"/>
          </w:tcPr>
          <w:p>
            <w:r>
              <w:rPr>
                <w:rFonts w:ascii="Calibri" w:hAnsi="Calibri"/>
                <w:sz w:val="22"/>
              </w:rPr>
              <w:t>-1.5%</w:t>
            </w:r>
          </w:p>
        </w:tc>
        <w:tc>
          <w:tcPr>
            <w:tcW w:type="dxa" w:w="1080"/>
          </w:tcPr>
          <w:p>
            <w:r>
              <w:rPr>
                <w:rFonts w:ascii="Calibri" w:hAnsi="Calibri"/>
                <w:sz w:val="22"/>
              </w:rPr>
              <w:t>No Q2 guidance; FY $965M–$1.04B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Q2 guidance)</w:t>
            </w:r>
          </w:p>
        </w:tc>
      </w:tr>
      <w:tr>
        <w:tc>
          <w:tcPr>
            <w:tcW w:type="dxa" w:w="1080"/>
          </w:tcPr>
          <w:p>
            <w:r>
              <w:rPr>
                <w:rFonts w:ascii="Calibri" w:hAnsi="Calibri"/>
                <w:sz w:val="22"/>
              </w:rPr>
              <w:t>Operating Income — FY2026</w:t>
            </w:r>
          </w:p>
        </w:tc>
        <w:tc>
          <w:tcPr>
            <w:tcW w:type="dxa" w:w="1080"/>
          </w:tcPr>
          <w:p>
            <w:r>
              <w:rPr>
                <w:rFonts w:ascii="Calibri" w:hAnsi="Calibri"/>
                <w:sz w:val="22"/>
              </w:rPr>
              <w:t>$965.2M</w:t>
            </w:r>
          </w:p>
        </w:tc>
        <w:tc>
          <w:tcPr>
            <w:tcW w:type="dxa" w:w="1080"/>
          </w:tcPr>
          <w:p>
            <w:r>
              <w:rPr>
                <w:rFonts w:ascii="Calibri" w:hAnsi="Calibri"/>
                <w:sz w:val="22"/>
              </w:rPr>
              <w:t>$959.9M</w:t>
            </w:r>
          </w:p>
        </w:tc>
        <w:tc>
          <w:tcPr>
            <w:tcW w:type="dxa" w:w="1080"/>
          </w:tcPr>
          <w:p>
            <w:r>
              <w:rPr>
                <w:rFonts w:ascii="Calibri" w:hAnsi="Calibri"/>
                <w:sz w:val="22"/>
              </w:rPr>
              <w:t>-0.5%</w:t>
            </w:r>
          </w:p>
        </w:tc>
        <w:tc>
          <w:tcPr>
            <w:tcW w:type="dxa" w:w="1080"/>
          </w:tcPr>
          <w:p>
            <w:r>
              <w:rPr>
                <w:rFonts w:ascii="Calibri" w:hAnsi="Calibri"/>
                <w:sz w:val="22"/>
              </w:rPr>
              <w:t>$965M – $1.04B</w:t>
            </w:r>
          </w:p>
        </w:tc>
        <w:tc>
          <w:tcPr>
            <w:tcW w:type="dxa" w:w="1080"/>
          </w:tcPr>
          <w:p>
            <w:r>
              <w:rPr>
                <w:rFonts w:ascii="Calibri" w:hAnsi="Calibri"/>
                <w:sz w:val="22"/>
              </w:rPr>
              <w:t>$965M – $1.04B (unchanged)</w:t>
            </w:r>
          </w:p>
        </w:tc>
        <w:tc>
          <w:tcPr>
            <w:tcW w:type="dxa" w:w="1080"/>
          </w:tcPr>
          <w:p>
            <w:r>
              <w:rPr>
                <w:rFonts w:ascii="Calibri" w:hAnsi="Calibri"/>
                <w:sz w:val="22"/>
              </w:rPr>
              <w:t>Flat</w:t>
            </w:r>
          </w:p>
        </w:tc>
        <w:tc>
          <w:tcPr>
            <w:tcW w:type="dxa" w:w="1080"/>
          </w:tcPr>
          <w:p>
            <w:r>
              <w:rPr>
                <w:rFonts w:ascii="Calibri" w:hAnsi="Calibri"/>
                <w:sz w:val="22"/>
              </w:rPr>
              <w:t>-0.5% (just below midpoint)</w:t>
            </w:r>
          </w:p>
        </w:tc>
      </w:tr>
    </w:tbl>
    <w:p>
      <w:r>
        <w:rPr>
          <w:rFonts w:ascii="Calibri" w:hAnsi="Calibri"/>
          <w:i/>
          <w:color w:val="525866"/>
          <w:sz w:val="22"/>
        </w:rPr>
        <w:t>Source: Visible Alpha Consensus and Actuals Data. Baseline as of May 4, 2026 (~5 trading days post Q1 2026 earnings on April 29, 2026). Current consensus as of July 28,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CHRW initially outperformed both IYT and the S&amp;P 500 post-Q1 earnings as the freight cycle re-rating gained momentum, but the </w:t>
      </w:r>
      <w:r>
        <w:rPr>
          <w:rFonts w:ascii="Calibri" w:hAnsi="Calibri"/>
          <w:b/>
          <w:color w:val="525866"/>
          <w:sz w:val="22"/>
        </w:rPr>
        <w:t>$604M advisory verdict on July 24 triggered a sharp ~19% selloff</w:t>
      </w:r>
      <w:r>
        <w:rPr>
          <w:rFonts w:ascii="Calibri" w:hAnsi="Calibri"/>
          <w:color w:val="525866"/>
          <w:sz w:val="22"/>
        </w:rPr>
        <w:t xml:space="preserve"> that erased all post-earnings gains and then some — the stock enters Q2 earnings day (July 29) down ~9% since the Q1 print, driven entirely by litigation sentiment rather than fundamental deterioration.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CHRW vs. IYT (iShares Transportation Average ETF) vs. S&amp;P 500 (SPY) — Indexed to 100 at Q1 2026 Earnings (April 29, 2026). IYT selected as the sector ETF given CHRW's classification in the transportation/logistics sub-sector. Source: Stock Price Data.</w:t>
      </w:r>
    </w:p>
    <w:p>
      <w:r>
        <w:rPr>
          <w:rFonts w:ascii="Calibri" w:hAnsi="Calibri"/>
          <w:b/>
          <w:color w:val="525866"/>
          <w:sz w:val="22"/>
        </w:rPr>
        <w:t>Performance Summary (April 29 – July 29, 2026):</w:t>
      </w:r>
    </w:p>
    <w:p>
      <w:pPr>
        <w:pStyle w:val="ListBullet"/>
        <w:ind w:left="360" w:hanging="360"/>
      </w:pPr>
      <w:r>
        <w:rPr>
          <w:rFonts w:ascii="Calibri" w:hAnsi="Calibri"/>
          <w:b/>
          <w:color w:val="525866"/>
          <w:sz w:val="22"/>
        </w:rPr>
        <w:t xml:space="preserve">CHRW: </w:t>
      </w:r>
      <w:r>
        <w:rPr>
          <w:rFonts w:ascii="Calibri" w:hAnsi="Calibri"/>
          <w:color w:val="525866"/>
          <w:sz w:val="22"/>
        </w:rPr>
        <w:t>Opened at $186.43 on April 29 (earnings day close). Rallied to a peak of ~$209.42 on July 21 (+12.3% from earnings close). Collapsed to $169.34 by July 29 (-9.2% total from earnings close), driven by the July 24 $604M advisory verdict 8-K.</w:t>
      </w:r>
    </w:p>
    <w:p>
      <w:pPr>
        <w:pStyle w:val="ListBullet"/>
        <w:ind w:left="360" w:hanging="360"/>
      </w:pPr>
      <w:r>
        <w:rPr>
          <w:rFonts w:ascii="Calibri" w:hAnsi="Calibri"/>
          <w:b/>
          <w:color w:val="525866"/>
          <w:sz w:val="22"/>
        </w:rPr>
        <w:t xml:space="preserve">IYT (Transport ETF): </w:t>
      </w:r>
      <w:r>
        <w:rPr>
          <w:rFonts w:ascii="Calibri" w:hAnsi="Calibri"/>
          <w:color w:val="525866"/>
          <w:sz w:val="22"/>
        </w:rPr>
        <w:t>Rose from $79.99 on April 29 to $86.97 on July 29 (+8.7%), reflecting the broader freight cycle recovery.</w:t>
      </w:r>
    </w:p>
    <w:p>
      <w:pPr>
        <w:pStyle w:val="ListBullet"/>
        <w:ind w:left="360" w:hanging="360"/>
      </w:pPr>
      <w:r>
        <w:rPr>
          <w:rFonts w:ascii="Calibri" w:hAnsi="Calibri"/>
          <w:b/>
          <w:color w:val="525866"/>
          <w:sz w:val="22"/>
        </w:rPr>
        <w:t xml:space="preserve">S&amp;P 500 (SPY): </w:t>
      </w:r>
      <w:r>
        <w:rPr>
          <w:rFonts w:ascii="Calibri" w:hAnsi="Calibri"/>
          <w:color w:val="525866"/>
          <w:sz w:val="22"/>
        </w:rPr>
        <w:t>Rose from $711.58 on April 29 to $740.86 on July 29 (+4.1%).</w:t>
      </w:r>
    </w:p>
    <w:p>
      <w:pPr>
        <w:pStyle w:val="ListBullet"/>
        <w:ind w:left="360" w:hanging="360"/>
      </w:pPr>
      <w:r>
        <w:rPr>
          <w:rFonts w:ascii="Calibri" w:hAnsi="Calibri"/>
          <w:b/>
          <w:color w:val="525866"/>
          <w:sz w:val="22"/>
        </w:rPr>
        <w:t xml:space="preserve">Key Events: </w:t>
      </w:r>
      <w:r>
        <w:rPr>
          <w:rFonts w:ascii="Calibri" w:hAnsi="Calibri"/>
          <w:color w:val="525866"/>
          <w:sz w:val="22"/>
        </w:rPr>
        <w:t>Wolfe Research Global Transportation &amp; Industrials Conference (May 14) — no material guidance update. July 24 $604M advisory verdict 8-K triggered the sharp selloff.</w:t>
      </w:r>
    </w:p>
    <w:p>
      <w:pPr>
        <w:pStyle w:val="Heading2"/>
      </w:pPr>
      <w:r>
        <w:rPr>
          <w:rFonts w:ascii="Calibri" w:hAnsi="Calibri"/>
          <w:b/>
          <w:color w:val="3B4259"/>
          <w:sz w:val="28"/>
        </w:rPr>
        <w:t>Peer Commentaries — Q2 2026 Read-Throughs</w:t>
      </w:r>
    </w:p>
    <w:p>
      <w:r>
        <w:rPr>
          <w:rFonts w:ascii="Calibri" w:hAnsi="Calibri"/>
          <w:b/>
          <w:color w:val="525866"/>
          <w:sz w:val="22"/>
        </w:rPr>
        <w:t xml:space="preserve">Key Takeaway: </w:t>
      </w:r>
      <w:r>
        <w:rPr>
          <w:rFonts w:ascii="Calibri" w:hAnsi="Calibri"/>
          <w:color w:val="525866"/>
          <w:sz w:val="22"/>
        </w:rPr>
        <w:t xml:space="preserve">Peer Q2 2026 commentary is uniformly constructive for CHRW — </w:t>
      </w:r>
      <w:r>
        <w:rPr>
          <w:rFonts w:ascii="Calibri" w:hAnsi="Calibri"/>
          <w:b/>
          <w:color w:val="525866"/>
          <w:sz w:val="22"/>
        </w:rPr>
        <w:t>truckload capacity tightened sharply, spot rates surged to multi-year highs, and demand held up across most verticals</w:t>
      </w:r>
      <w:r>
        <w:rPr>
          <w:rFonts w:ascii="Calibri" w:hAnsi="Calibri"/>
          <w:color w:val="525866"/>
          <w:sz w:val="22"/>
        </w:rPr>
        <w:t xml:space="preserve"> — all of which should translate into NAST AGP upside; the main offset is Global Forwarding, where ocean capacity remains abundant and pricing weak per EXPD's Q1 commentary.</w:t>
      </w:r>
    </w:p>
    <w:p>
      <w:pPr>
        <w:pStyle w:val="Heading3"/>
      </w:pPr>
      <w:r>
        <w:rPr>
          <w:rFonts w:ascii="Calibri" w:hAnsi="Calibri"/>
          <w:b/>
          <w:color w:val="3B4259"/>
          <w:sz w:val="24"/>
        </w:rPr>
        <w:t>Landstar System (LSTR) — Q2 2026 Earnings (July 28, 2026)</w:t>
      </w:r>
    </w:p>
    <w:p>
      <w:r>
        <w:rPr>
          <w:rFonts w:ascii="Calibri" w:hAnsi="Calibri"/>
          <w:b/>
          <w:color w:val="525866"/>
          <w:sz w:val="22"/>
        </w:rPr>
        <w:t xml:space="preserve">Read-Through Signal: </w:t>
      </w:r>
      <w:r>
        <w:rPr>
          <w:rFonts w:ascii="Calibri" w:hAnsi="Calibri"/>
          <w:b/>
          <w:color w:val="30A46C"/>
          <w:sz w:val="22"/>
        </w:rPr>
        <w:t>Strongly Positive for CHRW NAST</w:t>
      </w:r>
    </w:p>
    <w:p>
      <w:pPr>
        <w:pStyle w:val="ListBullet"/>
        <w:ind w:left="360" w:hanging="360"/>
      </w:pPr>
      <w:r>
        <w:rPr>
          <w:rFonts w:ascii="Calibri" w:hAnsi="Calibri"/>
          <w:b/>
          <w:color w:val="525866"/>
          <w:sz w:val="22"/>
        </w:rPr>
        <w:t xml:space="preserve">Spot rates surged: </w:t>
      </w:r>
      <w:r>
        <w:rPr>
          <w:rFonts w:ascii="Calibri" w:hAnsi="Calibri"/>
          <w:color w:val="525866"/>
          <w:sz w:val="22"/>
        </w:rPr>
        <w:t xml:space="preserve">Truck revenue per load was </w:t>
      </w:r>
      <w:r>
        <w:rPr>
          <w:rFonts w:ascii="Calibri" w:hAnsi="Calibri"/>
          <w:b/>
          <w:color w:val="525866"/>
          <w:sz w:val="22"/>
        </w:rPr>
        <w:t>17% above Q2 2025</w:t>
      </w:r>
      <w:r>
        <w:rPr>
          <w:rFonts w:ascii="Calibri" w:hAnsi="Calibri"/>
          <w:color w:val="525866"/>
          <w:sz w:val="22"/>
        </w:rPr>
        <w:t xml:space="preserve"> and up 14.4% sequentially — the largest sequential increase in 15 years, outpacing even the 2020 COVID surge. Revenue per load in July 2026 was ~26% above July 2025. This directly validates CHRW management's April call commentary that spot rates would remain elevated and supports NAST gross margin expansion.</w:t>
      </w:r>
    </w:p>
    <w:p>
      <w:pPr>
        <w:pStyle w:val="ListBullet"/>
        <w:ind w:left="360" w:hanging="360"/>
      </w:pPr>
      <w:r>
        <w:rPr>
          <w:rFonts w:ascii="Calibri" w:hAnsi="Calibri"/>
          <w:b/>
          <w:color w:val="525866"/>
          <w:sz w:val="22"/>
        </w:rPr>
        <w:t xml:space="preserve">Capacity tightened structurally: </w:t>
      </w:r>
      <w:r>
        <w:rPr>
          <w:rFonts w:ascii="Calibri" w:hAnsi="Calibri"/>
          <w:color w:val="525866"/>
          <w:sz w:val="22"/>
        </w:rPr>
        <w:t>Net BCO truck additions were the strongest since Q1 2022, yet BCO utilization hit an all-time high (101.9 annualized loadings), meaning less freight is available to lay off to third-party carriers — a tightening dynamic that benefits CHRW's carrier network and pricing power.</w:t>
      </w:r>
    </w:p>
    <w:p>
      <w:pPr>
        <w:pStyle w:val="ListBullet"/>
        <w:ind w:left="360" w:hanging="360"/>
      </w:pPr>
      <w:r>
        <w:rPr>
          <w:rFonts w:ascii="Calibri" w:hAnsi="Calibri"/>
          <w:b/>
          <w:color w:val="525866"/>
          <w:sz w:val="22"/>
        </w:rPr>
        <w:t xml:space="preserve">Volume solid: </w:t>
      </w:r>
      <w:r>
        <w:rPr>
          <w:rFonts w:ascii="Calibri" w:hAnsi="Calibri"/>
          <w:color w:val="525866"/>
          <w:sz w:val="22"/>
        </w:rPr>
        <w:t>Loads hauled via truck were up ~2% YoY in Q2 and ~5% YoY in July on a dispatch basis, slightly outperforming normal seasonality for the first time since 2021. ISM remained above 50 for all six months of 2026.</w:t>
      </w:r>
    </w:p>
    <w:p>
      <w:pPr>
        <w:pStyle w:val="ListBullet"/>
        <w:ind w:left="360" w:hanging="360"/>
      </w:pPr>
      <w:r>
        <w:rPr>
          <w:rFonts w:ascii="Calibri" w:hAnsi="Calibri"/>
          <w:b/>
          <w:color w:val="525866"/>
          <w:sz w:val="22"/>
        </w:rPr>
        <w:t xml:space="preserve">Pricing momentum into H2: </w:t>
      </w:r>
      <w:r>
        <w:rPr>
          <w:rFonts w:ascii="Calibri" w:hAnsi="Calibri"/>
          <w:color w:val="525866"/>
          <w:sz w:val="22"/>
        </w:rPr>
        <w:t>Pricing was 640 bps better than typical in April, ~400 bps better in May and June, and holding ~150 bps better in July — suggesting the rate cycle has legs into Q3, which is positive for CHRW's repricing narrative.</w:t>
      </w:r>
    </w:p>
    <w:p>
      <w:pPr>
        <w:pStyle w:val="ListBullet"/>
        <w:ind w:left="360" w:hanging="360"/>
      </w:pPr>
      <w:r>
        <w:rPr>
          <w:rFonts w:ascii="Calibri" w:hAnsi="Calibri"/>
          <w:b/>
          <w:color w:val="525866"/>
          <w:sz w:val="22"/>
        </w:rPr>
        <w:t xml:space="preserve">Montgomery verdict impact: </w:t>
      </w:r>
      <w:r>
        <w:rPr>
          <w:rFonts w:ascii="Calibri" w:hAnsi="Calibri"/>
          <w:color w:val="525866"/>
          <w:sz w:val="22"/>
        </w:rPr>
        <w:t>LSTR cited the Montgomery decision as contributing to shippers consolidating freight with reliable, large-scale providers — a direct read-through to CHRW's consolidation thesis.</w:t>
      </w:r>
    </w:p>
    <w:p>
      <w:pPr>
        <w:pStyle w:val="Heading3"/>
      </w:pPr>
      <w:r>
        <w:rPr>
          <w:rFonts w:ascii="Calibri" w:hAnsi="Calibri"/>
          <w:b/>
          <w:color w:val="3B4259"/>
          <w:sz w:val="24"/>
        </w:rPr>
        <w:t>J.B. Hunt Transport Services (JBHT) — Q2 2026 Earnings (July 15, 2026)</w:t>
      </w:r>
    </w:p>
    <w:p>
      <w:r>
        <w:rPr>
          <w:rFonts w:ascii="Calibri" w:hAnsi="Calibri"/>
          <w:b/>
          <w:color w:val="525866"/>
          <w:sz w:val="22"/>
        </w:rPr>
        <w:t xml:space="preserve">Read-Through Signal: </w:t>
      </w:r>
      <w:r>
        <w:rPr>
          <w:rFonts w:ascii="Calibri" w:hAnsi="Calibri"/>
          <w:b/>
          <w:color w:val="30A46C"/>
          <w:sz w:val="22"/>
        </w:rPr>
        <w:t>Positive for CHRW NAST; Mixed for Brokerage Margins</w:t>
      </w:r>
    </w:p>
    <w:p>
      <w:pPr>
        <w:pStyle w:val="ListBullet"/>
        <w:ind w:left="360" w:hanging="360"/>
      </w:pPr>
      <w:r>
        <w:rPr>
          <w:rFonts w:ascii="Calibri" w:hAnsi="Calibri"/>
          <w:b/>
          <w:color w:val="525866"/>
          <w:sz w:val="22"/>
        </w:rPr>
        <w:t xml:space="preserve">Capacity tightening confirmed: </w:t>
      </w:r>
      <w:r>
        <w:rPr>
          <w:rFonts w:ascii="Calibri" w:hAnsi="Calibri"/>
          <w:color w:val="525866"/>
          <w:sz w:val="22"/>
        </w:rPr>
        <w:t>JBHT described a "noticeable step change" in truckload capacity tightening around the annual road check event in early May that "persisted" through Q2. Driver markets are "as tight as we have ever seen" in specific markets, with higher sign-on bonuses and targeted wage increases — all consistent with CHRW's spot rate acceleration thesis.</w:t>
      </w:r>
    </w:p>
    <w:p>
      <w:pPr>
        <w:pStyle w:val="ListBullet"/>
        <w:ind w:left="360" w:hanging="360"/>
      </w:pPr>
      <w:r>
        <w:rPr>
          <w:rFonts w:ascii="Calibri" w:hAnsi="Calibri"/>
          <w:b/>
          <w:color w:val="525866"/>
          <w:sz w:val="22"/>
        </w:rPr>
        <w:t xml:space="preserve">Demand improving: </w:t>
      </w:r>
      <w:r>
        <w:rPr>
          <w:rFonts w:ascii="Calibri" w:hAnsi="Calibri"/>
          <w:color w:val="525866"/>
          <w:sz w:val="22"/>
        </w:rPr>
        <w:t>Overall freight demand "improved modestly from Q1" with industrial markets improving and U.S. consumer demand "remaining resilient." Intermodal volumes set a quarterly record at 578,000+ loads (+10% YoY), the first double-digit growth quarter in over a decade.</w:t>
      </w:r>
    </w:p>
    <w:p>
      <w:pPr>
        <w:pStyle w:val="ListBullet"/>
        <w:ind w:left="360" w:hanging="360"/>
      </w:pPr>
      <w:r>
        <w:rPr>
          <w:rFonts w:ascii="Calibri" w:hAnsi="Calibri"/>
          <w:b/>
          <w:color w:val="525866"/>
          <w:sz w:val="22"/>
        </w:rPr>
        <w:t xml:space="preserve">Brokerage margin pressure: </w:t>
      </w:r>
      <w:r>
        <w:rPr>
          <w:rFonts w:ascii="Calibri" w:hAnsi="Calibri"/>
          <w:color w:val="525866"/>
          <w:sz w:val="22"/>
        </w:rPr>
        <w:t>JBHT noted that rising spot rates are creating margin pressure in brokerage as contract rates lag spot — a nuance relevant to CHRW's contractual mix management. CHRW's surgical repricing approach (lane-by-lane) vs. the industry's hatchet approach should be a differentiator here.</w:t>
      </w:r>
    </w:p>
    <w:p>
      <w:pPr>
        <w:pStyle w:val="ListBullet"/>
        <w:ind w:left="360" w:hanging="360"/>
      </w:pPr>
      <w:r>
        <w:rPr>
          <w:rFonts w:ascii="Calibri" w:hAnsi="Calibri"/>
          <w:b/>
          <w:color w:val="525866"/>
          <w:sz w:val="22"/>
        </w:rPr>
        <w:t xml:space="preserve">Shipper behavior shifting: </w:t>
      </w:r>
      <w:r>
        <w:rPr>
          <w:rFonts w:ascii="Calibri" w:hAnsi="Calibri"/>
          <w:color w:val="525866"/>
          <w:sz w:val="22"/>
        </w:rPr>
        <w:t>Shippers are "increasingly mindful of the carriers they rely on, consolidating more of their business with providers that can deliver capacity at scale" — a direct read-through to CHRW's market share gain narrative. The Montgomery decision is cited as accelerating this consolidation.</w:t>
      </w:r>
    </w:p>
    <w:p>
      <w:pPr>
        <w:pStyle w:val="ListBullet"/>
        <w:ind w:left="360" w:hanging="360"/>
      </w:pPr>
      <w:r>
        <w:rPr>
          <w:rFonts w:ascii="Calibri" w:hAnsi="Calibri"/>
          <w:b/>
          <w:color w:val="525866"/>
          <w:sz w:val="22"/>
        </w:rPr>
        <w:t xml:space="preserve">Mini-bids accelerating: </w:t>
      </w:r>
      <w:r>
        <w:rPr>
          <w:rFonts w:ascii="Calibri" w:hAnsi="Calibri"/>
          <w:color w:val="525866"/>
          <w:sz w:val="22"/>
        </w:rPr>
        <w:t>Customers initiated "more out-of-cycle mini bids" to reset pricing — consistent with CHRW's Q1 commentary about managing repricing with customers and expecting that process to continue into Q2.</w:t>
      </w:r>
    </w:p>
    <w:p>
      <w:pPr>
        <w:pStyle w:val="Heading3"/>
      </w:pPr>
      <w:r>
        <w:rPr>
          <w:rFonts w:ascii="Calibri" w:hAnsi="Calibri"/>
          <w:b/>
          <w:color w:val="3B4259"/>
          <w:sz w:val="24"/>
        </w:rPr>
        <w:t>UPS (UPS) — Q2 2026 Earnings (July 28, 2026)</w:t>
      </w:r>
    </w:p>
    <w:p>
      <w:r>
        <w:rPr>
          <w:rFonts w:ascii="Calibri" w:hAnsi="Calibri"/>
          <w:b/>
          <w:color w:val="525866"/>
          <w:sz w:val="22"/>
        </w:rPr>
        <w:t xml:space="preserve">Read-Through Signal: </w:t>
      </w:r>
      <w:r>
        <w:rPr>
          <w:rFonts w:ascii="Calibri" w:hAnsi="Calibri"/>
          <w:b/>
          <w:color w:val="30A46C"/>
          <w:sz w:val="22"/>
        </w:rPr>
        <w:t>Mixed — Positive on Demand/Pricing; Neutral on Forwarding</w:t>
      </w:r>
    </w:p>
    <w:p>
      <w:pPr>
        <w:pStyle w:val="ListBullet"/>
        <w:ind w:left="360" w:hanging="360"/>
      </w:pPr>
      <w:r>
        <w:rPr>
          <w:rFonts w:ascii="Calibri" w:hAnsi="Calibri"/>
          <w:b/>
          <w:color w:val="525866"/>
          <w:sz w:val="22"/>
        </w:rPr>
        <w:t xml:space="preserve">Broad-based demand: </w:t>
      </w:r>
      <w:r>
        <w:rPr>
          <w:rFonts w:ascii="Calibri" w:hAnsi="Calibri"/>
          <w:color w:val="525866"/>
          <w:sz w:val="22"/>
        </w:rPr>
        <w:t>U.S. SMB average daily volume grew 4.3% YoY, with B2B volume decline rate improving 190 bps vs. Q1. Demand was "broad-based across nearly all industry sectors" — a positive read for CHRW's NAST volume outlook.</w:t>
      </w:r>
    </w:p>
    <w:p>
      <w:pPr>
        <w:pStyle w:val="ListBullet"/>
        <w:ind w:left="360" w:hanging="360"/>
      </w:pPr>
      <w:r>
        <w:rPr>
          <w:rFonts w:ascii="Calibri" w:hAnsi="Calibri"/>
          <w:b/>
          <w:color w:val="525866"/>
          <w:sz w:val="22"/>
        </w:rPr>
        <w:t xml:space="preserve">Fuel surcharge dynamics: </w:t>
      </w:r>
      <w:r>
        <w:rPr>
          <w:rFonts w:ascii="Calibri" w:hAnsi="Calibri"/>
          <w:color w:val="525866"/>
          <w:sz w:val="22"/>
        </w:rPr>
        <w:t>UPS flagged that Middle East conflict drove an "outsized increase in both revenue and expense" from fuel, but the net impact to operating profit was modest as surcharge mechanisms functioned as designed. This directly validates CHRW management's Q1 warning that elevated fuel surcharges would reduce truckload gross margin percentage in Q2 without impacting gross profit dollars — investors should not penalize CHRW for margin % compression.</w:t>
      </w:r>
    </w:p>
    <w:p>
      <w:pPr>
        <w:pStyle w:val="ListBullet"/>
        <w:ind w:left="360" w:hanging="360"/>
      </w:pPr>
      <w:r>
        <w:rPr>
          <w:rFonts w:ascii="Calibri" w:hAnsi="Calibri"/>
          <w:b/>
          <w:color w:val="525866"/>
          <w:sz w:val="22"/>
        </w:rPr>
        <w:t xml:space="preserve">Pricing environment strong: </w:t>
      </w:r>
      <w:r>
        <w:rPr>
          <w:rFonts w:ascii="Calibri" w:hAnsi="Calibri"/>
          <w:color w:val="525866"/>
          <w:sz w:val="22"/>
        </w:rPr>
        <w:t>Revenue per piece grew 9.3% YoY, with more than half from healthy base rates and customer mix. Pricing described as "rational" with carriers expected to issue holiday demand surcharges for peak season.</w:t>
      </w:r>
    </w:p>
    <w:p>
      <w:pPr>
        <w:pStyle w:val="ListBullet"/>
        <w:ind w:left="360" w:hanging="360"/>
      </w:pPr>
      <w:r>
        <w:rPr>
          <w:rFonts w:ascii="Calibri" w:hAnsi="Calibri"/>
          <w:b/>
          <w:color w:val="525866"/>
          <w:sz w:val="22"/>
        </w:rPr>
        <w:t xml:space="preserve">China-to-U.S. recovery: </w:t>
      </w:r>
      <w:r>
        <w:rPr>
          <w:rFonts w:ascii="Calibri" w:hAnsi="Calibri"/>
          <w:color w:val="525866"/>
          <w:sz w:val="22"/>
        </w:rPr>
        <w:t>China-to-U.S. trade lane returned to YoY growth beginning in May, and Asia-to-Asia export volume grew 13.6% — a positive read for CHRW's Global Forwarding air volumes, though ocean remains pressured.</w:t>
      </w:r>
    </w:p>
    <w:p>
      <w:pPr>
        <w:pStyle w:val="ListBullet"/>
        <w:ind w:left="360" w:hanging="360"/>
      </w:pPr>
      <w:r>
        <w:rPr>
          <w:rFonts w:ascii="Calibri" w:hAnsi="Calibri"/>
          <w:b/>
          <w:color w:val="525866"/>
          <w:sz w:val="22"/>
        </w:rPr>
        <w:t xml:space="preserve">Tariff impact on Canada volumes: </w:t>
      </w:r>
      <w:r>
        <w:rPr>
          <w:rFonts w:ascii="Calibri" w:hAnsi="Calibri"/>
          <w:color w:val="525866"/>
          <w:sz w:val="22"/>
        </w:rPr>
        <w:t>UPS noted tariffs have "certainly impacted volume Canada to the United States" — a potential headwind for CHRW's cross-border NAST volumes, though management has not flagged this as material.</w:t>
      </w:r>
    </w:p>
    <w:p>
      <w:pPr>
        <w:pStyle w:val="Heading3"/>
      </w:pPr>
      <w:r>
        <w:rPr>
          <w:rFonts w:ascii="Calibri" w:hAnsi="Calibri"/>
          <w:b/>
          <w:color w:val="3B4259"/>
          <w:sz w:val="24"/>
        </w:rPr>
        <w:t>FedEx (FDX) — Q4 FY2026 Earnings (June 23, 2026)</w:t>
      </w:r>
    </w:p>
    <w:p>
      <w:r>
        <w:rPr>
          <w:rFonts w:ascii="Calibri" w:hAnsi="Calibri"/>
          <w:b/>
          <w:color w:val="525866"/>
          <w:sz w:val="22"/>
        </w:rPr>
        <w:t xml:space="preserve">Read-Through Signal: </w:t>
      </w:r>
      <w:r>
        <w:rPr>
          <w:rFonts w:ascii="Calibri" w:hAnsi="Calibri"/>
          <w:b/>
          <w:color w:val="30A46C"/>
          <w:sz w:val="22"/>
        </w:rPr>
        <w:t>Positive on Air Freight; Neutral on Truckload</w:t>
      </w:r>
    </w:p>
    <w:p>
      <w:pPr>
        <w:pStyle w:val="ListBullet"/>
        <w:ind w:left="360" w:hanging="360"/>
      </w:pPr>
      <w:r>
        <w:rPr>
          <w:rFonts w:ascii="Calibri" w:hAnsi="Calibri"/>
          <w:b/>
          <w:color w:val="525866"/>
          <w:sz w:val="22"/>
        </w:rPr>
        <w:t xml:space="preserve">International air freight strength: </w:t>
      </w:r>
      <w:r>
        <w:rPr>
          <w:rFonts w:ascii="Calibri" w:hAnsi="Calibri"/>
          <w:color w:val="525866"/>
          <w:sz w:val="22"/>
        </w:rPr>
        <w:t>FDX reported double-digit international export revenue growth on Asia-Europe and U.S. outbound lanes, with average daily pounds in international export freight up 12% YoY. This is a positive read for CHRW's Global Forwarding air segment, which has been a relative bright spot.</w:t>
      </w:r>
    </w:p>
    <w:p>
      <w:pPr>
        <w:pStyle w:val="ListBullet"/>
        <w:ind w:left="360" w:hanging="360"/>
      </w:pPr>
      <w:r>
        <w:rPr>
          <w:rFonts w:ascii="Calibri" w:hAnsi="Calibri"/>
          <w:b/>
          <w:color w:val="525866"/>
          <w:sz w:val="22"/>
        </w:rPr>
        <w:t xml:space="preserve">Inventory restocking underway: </w:t>
      </w:r>
      <w:r>
        <w:rPr>
          <w:rFonts w:ascii="Calibri" w:hAnsi="Calibri"/>
          <w:color w:val="525866"/>
          <w:sz w:val="22"/>
        </w:rPr>
        <w:t>FDX noted "inventory build-up, rebound and restocking" occurring in the market — a positive demand signal for CHRW's NAST volumes in Q2 and H2.</w:t>
      </w:r>
    </w:p>
    <w:p>
      <w:pPr>
        <w:pStyle w:val="ListBullet"/>
        <w:ind w:left="360" w:hanging="360"/>
      </w:pPr>
      <w:r>
        <w:rPr>
          <w:rFonts w:ascii="Calibri" w:hAnsi="Calibri"/>
          <w:b/>
          <w:color w:val="525866"/>
          <w:sz w:val="22"/>
        </w:rPr>
        <w:t xml:space="preserve">B2B verticals strong: </w:t>
      </w:r>
      <w:r>
        <w:rPr>
          <w:rFonts w:ascii="Calibri" w:hAnsi="Calibri"/>
          <w:color w:val="525866"/>
          <w:sz w:val="22"/>
        </w:rPr>
        <w:t>Healthcare, automotive, aerospace, and data center verticals drove the majority of B2B revenue growth. Data center/AI demand delivering double-digit revenue growth. These are end markets where CHRW has been growing its specialized logistics capabilities.</w:t>
      </w:r>
    </w:p>
    <w:p>
      <w:pPr>
        <w:pStyle w:val="ListBullet"/>
        <w:ind w:left="360" w:hanging="360"/>
      </w:pPr>
      <w:r>
        <w:rPr>
          <w:rFonts w:ascii="Calibri" w:hAnsi="Calibri"/>
          <w:b/>
          <w:color w:val="525866"/>
          <w:sz w:val="22"/>
        </w:rPr>
        <w:t xml:space="preserve">Trade policy headwinds: </w:t>
      </w:r>
      <w:r>
        <w:rPr>
          <w:rFonts w:ascii="Calibri" w:hAnsi="Calibri"/>
          <w:color w:val="525866"/>
          <w:sz w:val="22"/>
        </w:rPr>
        <w:t>FDX cited global trade policy changes as a "significant headwind" and began filing tariff refund claims with CBP on behalf of customers in April. Elevated tariff complexity is a tailwind for CHRW's customs brokerage business.</w:t>
      </w:r>
    </w:p>
    <w:p>
      <w:pPr>
        <w:pStyle w:val="Heading3"/>
      </w:pPr>
      <w:r>
        <w:rPr>
          <w:rFonts w:ascii="Calibri" w:hAnsi="Calibri"/>
          <w:b/>
          <w:color w:val="3B4259"/>
          <w:sz w:val="24"/>
        </w:rPr>
        <w:t>Expeditors International (EXPD) — Q1 2026 Earnings Release (May 5, 2026)</w:t>
      </w:r>
    </w:p>
    <w:p>
      <w:r>
        <w:rPr>
          <w:rFonts w:ascii="Calibri" w:hAnsi="Calibri"/>
          <w:b/>
          <w:color w:val="525866"/>
          <w:sz w:val="22"/>
        </w:rPr>
        <w:t xml:space="preserve">Read-Through Signal: </w:t>
      </w:r>
      <w:r>
        <w:rPr>
          <w:rFonts w:ascii="Calibri" w:hAnsi="Calibri"/>
          <w:b/>
          <w:color w:val="E5484D"/>
          <w:sz w:val="22"/>
        </w:rPr>
        <w:t>Negative for Global Forwarding Ocean; Positive for Customs</w:t>
      </w:r>
    </w:p>
    <w:p>
      <w:pPr>
        <w:pStyle w:val="ListBullet"/>
        <w:ind w:left="360" w:hanging="360"/>
      </w:pPr>
      <w:r>
        <w:rPr>
          <w:rFonts w:ascii="Calibri" w:hAnsi="Calibri"/>
          <w:b/>
          <w:color w:val="525866"/>
          <w:sz w:val="22"/>
        </w:rPr>
        <w:t xml:space="preserve">Ocean market remains weak: </w:t>
      </w:r>
      <w:r>
        <w:rPr>
          <w:rFonts w:ascii="Calibri" w:hAnsi="Calibri"/>
          <w:color w:val="525866"/>
          <w:sz w:val="22"/>
        </w:rPr>
        <w:t>EXPD explicitly stated it expects "the ocean market to remain impacted by abundant capacity and weak pricing," with the imbalance of global capacity vs. demand that began in H2 2025 continuing into Q1 2026. This is a direct negative read-through for CHRW's Global Forwarding ocean AGP, where Q2 2026 consensus of $181.2M is already below Q2 2025's $187.6M.</w:t>
      </w:r>
    </w:p>
    <w:p>
      <w:pPr>
        <w:pStyle w:val="ListBullet"/>
        <w:ind w:left="360" w:hanging="360"/>
      </w:pPr>
      <w:r>
        <w:rPr>
          <w:rFonts w:ascii="Calibri" w:hAnsi="Calibri"/>
          <w:b/>
          <w:color w:val="525866"/>
          <w:sz w:val="22"/>
        </w:rPr>
        <w:t xml:space="preserve">Customs brokerage demand robust: </w:t>
      </w:r>
      <w:r>
        <w:rPr>
          <w:rFonts w:ascii="Calibri" w:hAnsi="Calibri"/>
          <w:color w:val="525866"/>
          <w:sz w:val="22"/>
        </w:rPr>
        <w:t>EXPD flagged "continued robust demand for customs brokerage services due to elevated tariff-driven complexity, tariff refund challenges, and dynamics in the global trade environment" — a positive read for CHRW's customs revenue line, which management has highlighted as a growth area.</w:t>
      </w:r>
    </w:p>
    <w:p>
      <w:pPr>
        <w:pStyle w:val="ListBullet"/>
        <w:ind w:left="360" w:hanging="360"/>
      </w:pPr>
      <w:r>
        <w:rPr>
          <w:rFonts w:ascii="Calibri" w:hAnsi="Calibri"/>
          <w:b/>
          <w:color w:val="525866"/>
          <w:sz w:val="22"/>
        </w:rPr>
        <w:t xml:space="preserve">Air market volatile: </w:t>
      </w:r>
      <w:r>
        <w:rPr>
          <w:rFonts w:ascii="Calibri" w:hAnsi="Calibri"/>
          <w:color w:val="525866"/>
          <w:sz w:val="22"/>
        </w:rPr>
        <w:t>EXPD warned the air market may face "rapid shifts in capacity, routing, pricing, and possible fuel shortages" — a risk to CHRW's Global Forwarding air segment, though FDX's commentary suggests demand remains strong.</w:t>
      </w:r>
    </w:p>
    <w:p>
      <w:pPr>
        <w:pStyle w:val="ListBullet"/>
        <w:ind w:left="360" w:hanging="360"/>
      </w:pPr>
      <w:r>
        <w:rPr>
          <w:rFonts w:ascii="Calibri" w:hAnsi="Calibri"/>
          <w:b/>
          <w:color w:val="525866"/>
          <w:sz w:val="22"/>
        </w:rPr>
        <w:t xml:space="preserve">Freight environment unpredictable: </w:t>
      </w:r>
      <w:r>
        <w:rPr>
          <w:rFonts w:ascii="Calibri" w:hAnsi="Calibri"/>
          <w:color w:val="525866"/>
          <w:sz w:val="22"/>
        </w:rPr>
        <w:t>EXPD described the overall freight environment as "highly unpredictable" driven by geopolitical uncertainty, tariff policy changes, and volatile rates — consistent with CHRW's own framing but not incrementally negative.</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$604M advisory verdict filed July 24 is the single most important development since Q1 earnings — it has already moved the stock ~19% lower and will dominate the Q2 call; management's ability to credibly frame the litigation risk (non-final, appealable, insurance-covered) will determine whether the print re-anchors on fundamentals.</w:t>
      </w:r>
    </w:p>
    <w:p>
      <w:pPr>
        <w:pStyle w:val="ListBullet"/>
        <w:ind w:left="360" w:hanging="360"/>
      </w:pPr>
      <w:r>
        <w:rPr>
          <w:rFonts w:ascii="Calibri" w:hAnsi="Calibri"/>
          <w:b/>
          <w:color w:val="525866"/>
          <w:sz w:val="22"/>
        </w:rPr>
        <w:t xml:space="preserve">July 24, 2026 — $604M Advisory Verdict (8-K): </w:t>
      </w:r>
      <w:r>
        <w:rPr>
          <w:rFonts w:ascii="Calibri" w:hAnsi="Calibri"/>
          <w:color w:val="525866"/>
          <w:sz w:val="22"/>
        </w:rPr>
        <w:t xml:space="preserve">A Dallas County, Texas jury issued an advisory verdict against CHRW and two co-defendants in a trucking accident lawsuit involving an independent motor carrier, awarding $604M in compensatory damages. The verdict is not yet final and is subject to post-trial proceedings. CHRW disagrees with the verdict and expects to appeal if entered as final. The stock fell ~19% from July 23 to July 29 on this news. </w:t>
      </w:r>
    </w:p>
    <w:p>
      <w:pPr>
        <w:pStyle w:val="ListBullet"/>
        <w:ind w:left="360" w:hanging="360"/>
      </w:pPr>
      <w:r>
        <w:rPr>
          <w:rFonts w:ascii="Calibri" w:hAnsi="Calibri"/>
          <w:b/>
          <w:color w:val="525866"/>
          <w:sz w:val="22"/>
        </w:rPr>
        <w:t xml:space="preserve">Implication: </w:t>
      </w:r>
      <w:r>
        <w:rPr>
          <w:rFonts w:ascii="Calibri" w:hAnsi="Calibri"/>
          <w:color w:val="525866"/>
          <w:sz w:val="22"/>
        </w:rPr>
        <w:t>This is the single biggest wildcard for the print. Management will need to address insurance coverage, balance sheet capacity, and the broader litigation environment (post-Montgomery) on the call. The company previously stated insurance costs represent less than half of one percent of gross revenue, but a $604M judgment — even if ultimately reduced on appeal — raises questions about tail risk.</w:t>
      </w:r>
    </w:p>
    <w:p>
      <w:pPr>
        <w:pStyle w:val="ListBullet"/>
        <w:ind w:left="360" w:hanging="360"/>
      </w:pPr>
      <w:r>
        <w:rPr>
          <w:rFonts w:ascii="Calibri" w:hAnsi="Calibri"/>
          <w:b/>
          <w:color w:val="525866"/>
          <w:sz w:val="22"/>
        </w:rPr>
        <w:t xml:space="preserve">May 14, 2026 — Supreme Court Montgomery v. Caribe Transport II Ruling: </w:t>
      </w:r>
      <w:r>
        <w:rPr>
          <w:rFonts w:ascii="Calibri" w:hAnsi="Calibri"/>
          <w:color w:val="525866"/>
          <w:sz w:val="22"/>
        </w:rPr>
        <w:t>The Supreme Court ruled 9-0 against CHRW, holding that state negligent-hiring claims against freight brokers are not preempted by the FAAAA. Management stated they had a playbook for either outcome and estimated 20-30% of broker capacity could exit the industry, positioning CHRW as the consolidator. The July 24 verdict is the first major post-ruling litigation event.</w:t>
      </w:r>
    </w:p>
    <w:p>
      <w:pPr>
        <w:pStyle w:val="ListBullet"/>
        <w:ind w:left="360" w:hanging="360"/>
      </w:pPr>
      <w:r>
        <w:rPr>
          <w:rFonts w:ascii="Calibri" w:hAnsi="Calibri"/>
          <w:b/>
          <w:color w:val="525866"/>
          <w:sz w:val="22"/>
        </w:rPr>
        <w:t xml:space="preserve">May 14, 2026 — Wolfe Research Global Transportation &amp; Industrials Conference: </w:t>
      </w:r>
      <w:r>
        <w:rPr>
          <w:rFonts w:ascii="Calibri" w:hAnsi="Calibri"/>
          <w:color w:val="525866"/>
          <w:sz w:val="22"/>
        </w:rPr>
        <w:t>CHRW participated in the conference. No material guidance update was disclosed; management reiterated the transformation narrative and $6 EPS target.</w:t>
      </w:r>
    </w:p>
    <w:p>
      <w:pPr>
        <w:pStyle w:val="ListBullet"/>
        <w:ind w:left="360" w:hanging="360"/>
      </w:pPr>
      <w:r>
        <w:rPr>
          <w:rFonts w:ascii="Calibri" w:hAnsi="Calibri"/>
          <w:b/>
          <w:color w:val="525866"/>
          <w:sz w:val="22"/>
        </w:rPr>
        <w:t xml:space="preserve">May 11, 2026 — Annual Meeting: </w:t>
      </w:r>
      <w:r>
        <w:rPr>
          <w:rFonts w:ascii="Calibri" w:hAnsi="Calibri"/>
          <w:color w:val="525866"/>
          <w:sz w:val="22"/>
        </w:rPr>
        <w:t>Shareholders approved all proposals at the 2026 Annual Meeting (8-K filed). No material governance changes.</w:t>
      </w:r>
    </w:p>
    <w:p>
      <w:pPr>
        <w:pStyle w:val="ListBullet"/>
        <w:ind w:left="360" w:hanging="360"/>
      </w:pPr>
      <w:r>
        <w:rPr>
          <w:rFonts w:ascii="Calibri" w:hAnsi="Calibri"/>
          <w:b/>
          <w:color w:val="525866"/>
          <w:sz w:val="22"/>
        </w:rPr>
        <w:t xml:space="preserve">July 7, 2026 — Q2 Earnings Scheduled: </w:t>
      </w:r>
      <w:r>
        <w:rPr>
          <w:rFonts w:ascii="Calibri" w:hAnsi="Calibri"/>
          <w:color w:val="525866"/>
          <w:sz w:val="22"/>
        </w:rPr>
        <w:t>CHRW confirmed Q2 2026 earnings release and conference call for July 29, 2026.</w:t>
      </w:r>
    </w:p>
    <w:p>
      <w:pPr>
        <w:pStyle w:val="ListBullet"/>
        <w:ind w:left="360" w:hanging="360"/>
      </w:pPr>
      <w:r>
        <w:rPr>
          <w:rFonts w:ascii="Calibri" w:hAnsi="Calibri"/>
          <w:b/>
          <w:color w:val="525866"/>
          <w:sz w:val="22"/>
        </w:rPr>
        <w:t xml:space="preserve">Ongoing — Freight Cycle Acceleration: </w:t>
      </w:r>
      <w:r>
        <w:rPr>
          <w:rFonts w:ascii="Calibri" w:hAnsi="Calibri"/>
          <w:color w:val="525866"/>
          <w:sz w:val="22"/>
        </w:rPr>
        <w:t>Peer commentary from LSTR and JBHT confirms the freight cycle has turned sharply in carriers' favor since April, with spot rates at multi-year highs and capacity tightening structurally. This is the most important fundamental tailwind for CHRW's Q2 NAST results.</w:t>
      </w:r>
    </w:p>
    <w:p>
      <w:pPr>
        <w:pStyle w:val="ListBullet"/>
        <w:ind w:left="360" w:hanging="360"/>
      </w:pPr>
      <w:r>
        <w:rPr>
          <w:rFonts w:ascii="Calibri" w:hAnsi="Calibri"/>
          <w:b/>
          <w:color w:val="525866"/>
          <w:sz w:val="22"/>
        </w:rPr>
        <w:t xml:space="preserve">Ongoing — Agentic AI Deployment in Global Forwarding: </w:t>
      </w:r>
      <w:r>
        <w:rPr>
          <w:rFonts w:ascii="Calibri" w:hAnsi="Calibri"/>
          <w:color w:val="525866"/>
          <w:sz w:val="22"/>
        </w:rPr>
        <w:t>Management guided for more significant AI-driven productivity impacts to "kick in the second half of this year" in Global Forwarding. Q2 results will be the first data point on whether this deployment is on track.</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the Q1 print — the only Form 4 activity consists of routine tax-withholding share forfeitures (code F) by the CFO and CEO, and standard director RSU grants.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Lee, Damon J.</w:t>
            </w:r>
          </w:p>
        </w:tc>
        <w:tc>
          <w:tcPr>
            <w:tcW w:type="dxa" w:w="1440"/>
          </w:tcPr>
          <w:p>
            <w:r>
              <w:rPr>
                <w:rFonts w:ascii="Calibri" w:hAnsi="Calibri"/>
                <w:sz w:val="22"/>
              </w:rPr>
              <w:t>Chief Financial Officer</w:t>
            </w:r>
          </w:p>
        </w:tc>
        <w:tc>
          <w:tcPr>
            <w:tcW w:type="dxa" w:w="1440"/>
          </w:tcPr>
          <w:p>
            <w:r>
              <w:rPr>
                <w:rFonts w:ascii="Calibri" w:hAnsi="Calibri"/>
                <w:sz w:val="22"/>
              </w:rPr>
              <w:t>Tax Withholding (Code F)</w:t>
            </w:r>
          </w:p>
        </w:tc>
        <w:tc>
          <w:tcPr>
            <w:tcW w:type="dxa" w:w="1440"/>
          </w:tcPr>
          <w:p>
            <w:r>
              <w:rPr>
                <w:rFonts w:ascii="Calibri" w:hAnsi="Calibri"/>
                <w:sz w:val="22"/>
              </w:rPr>
              <w:t>4,698 shares</w:t>
            </w:r>
          </w:p>
        </w:tc>
        <w:tc>
          <w:tcPr>
            <w:tcW w:type="dxa" w:w="1440"/>
          </w:tcPr>
          <w:p>
            <w:r>
              <w:rPr>
                <w:rFonts w:ascii="Calibri" w:hAnsi="Calibri"/>
                <w:sz w:val="22"/>
              </w:rPr>
              <w:t>Jul 8, 2026</w:t>
            </w:r>
          </w:p>
        </w:tc>
        <w:tc>
          <w:tcPr>
            <w:tcW w:type="dxa" w:w="1440"/>
          </w:tcPr>
          <w:p>
            <w:r>
              <w:rPr>
                <w:rFonts w:ascii="Calibri" w:hAnsi="Calibri"/>
                <w:sz w:val="22"/>
              </w:rPr>
              <w:t>Shares withheld for tax obligation; not a discretionary sale</w:t>
            </w:r>
          </w:p>
        </w:tc>
      </w:tr>
      <w:tr>
        <w:tc>
          <w:tcPr>
            <w:tcW w:type="dxa" w:w="1440"/>
          </w:tcPr>
          <w:p>
            <w:r>
              <w:rPr>
                <w:rFonts w:ascii="Calibri" w:hAnsi="Calibri"/>
                <w:sz w:val="22"/>
              </w:rPr>
              <w:t>Bozeman, David P.</w:t>
            </w:r>
          </w:p>
        </w:tc>
        <w:tc>
          <w:tcPr>
            <w:tcW w:type="dxa" w:w="1440"/>
          </w:tcPr>
          <w:p>
            <w:r>
              <w:rPr>
                <w:rFonts w:ascii="Calibri" w:hAnsi="Calibri"/>
                <w:sz w:val="22"/>
              </w:rPr>
              <w:t>President &amp; CEO, Director</w:t>
            </w:r>
          </w:p>
        </w:tc>
        <w:tc>
          <w:tcPr>
            <w:tcW w:type="dxa" w:w="1440"/>
          </w:tcPr>
          <w:p>
            <w:r>
              <w:rPr>
                <w:rFonts w:ascii="Calibri" w:hAnsi="Calibri"/>
                <w:sz w:val="22"/>
              </w:rPr>
              <w:t>Tax Withholding (Code F)</w:t>
            </w:r>
          </w:p>
        </w:tc>
        <w:tc>
          <w:tcPr>
            <w:tcW w:type="dxa" w:w="1440"/>
          </w:tcPr>
          <w:p>
            <w:r>
              <w:rPr>
                <w:rFonts w:ascii="Calibri" w:hAnsi="Calibri"/>
                <w:sz w:val="22"/>
              </w:rPr>
              <w:t>11,693 shares</w:t>
            </w:r>
          </w:p>
        </w:tc>
        <w:tc>
          <w:tcPr>
            <w:tcW w:type="dxa" w:w="1440"/>
          </w:tcPr>
          <w:p>
            <w:r>
              <w:rPr>
                <w:rFonts w:ascii="Calibri" w:hAnsi="Calibri"/>
                <w:sz w:val="22"/>
              </w:rPr>
              <w:t>Jun 26,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Rajan, Arun</w:t>
            </w:r>
          </w:p>
        </w:tc>
        <w:tc>
          <w:tcPr>
            <w:tcW w:type="dxa" w:w="1440"/>
          </w:tcPr>
          <w:p>
            <w:r>
              <w:rPr>
                <w:rFonts w:ascii="Calibri" w:hAnsi="Calibri"/>
                <w:sz w:val="22"/>
              </w:rPr>
              <w:t>Chief Strategy &amp; Innovation Officer</w:t>
            </w:r>
          </w:p>
        </w:tc>
        <w:tc>
          <w:tcPr>
            <w:tcW w:type="dxa" w:w="1440"/>
          </w:tcPr>
          <w:p>
            <w:r>
              <w:rPr>
                <w:rFonts w:ascii="Calibri" w:hAnsi="Calibri"/>
                <w:sz w:val="22"/>
              </w:rPr>
              <w:t>RSU Grant (Code A)</w:t>
            </w:r>
          </w:p>
        </w:tc>
        <w:tc>
          <w:tcPr>
            <w:tcW w:type="dxa" w:w="1440"/>
          </w:tcPr>
          <w:p>
            <w:r>
              <w:rPr>
                <w:rFonts w:ascii="Calibri" w:hAnsi="Calibri"/>
                <w:sz w:val="22"/>
              </w:rPr>
              <w:t>8,714 shares</w:t>
            </w:r>
          </w:p>
        </w:tc>
        <w:tc>
          <w:tcPr>
            <w:tcW w:type="dxa" w:w="1440"/>
          </w:tcPr>
          <w:p>
            <w:r>
              <w:rPr>
                <w:rFonts w:ascii="Calibri" w:hAnsi="Calibri"/>
                <w:sz w:val="22"/>
              </w:rPr>
              <w:t>May 29, 2026</w:t>
            </w:r>
          </w:p>
        </w:tc>
        <w:tc>
          <w:tcPr>
            <w:tcW w:type="dxa" w:w="1440"/>
          </w:tcPr>
          <w:p>
            <w:r>
              <w:rPr>
                <w:rFonts w:ascii="Calibri" w:hAnsi="Calibri"/>
                <w:sz w:val="22"/>
              </w:rPr>
              <w:t>Restricted stock unit award; acquisition, not a market purchase</w:t>
            </w:r>
          </w:p>
        </w:tc>
      </w:tr>
      <w:tr>
        <w:tc>
          <w:tcPr>
            <w:tcW w:type="dxa" w:w="1440"/>
          </w:tcPr>
          <w:p>
            <w:r>
              <w:rPr>
                <w:rFonts w:ascii="Calibri" w:hAnsi="Calibri"/>
                <w:sz w:val="22"/>
              </w:rPr>
              <w:t>Capers, Dorothy Trefon</w:t>
            </w:r>
          </w:p>
        </w:tc>
        <w:tc>
          <w:tcPr>
            <w:tcW w:type="dxa" w:w="1440"/>
          </w:tcPr>
          <w:p>
            <w:r>
              <w:rPr>
                <w:rFonts w:ascii="Calibri" w:hAnsi="Calibri"/>
                <w:sz w:val="22"/>
              </w:rPr>
              <w:t>Chief Legal Officer</w:t>
            </w:r>
          </w:p>
        </w:tc>
        <w:tc>
          <w:tcPr>
            <w:tcW w:type="dxa" w:w="1440"/>
          </w:tcPr>
          <w:p>
            <w:r>
              <w:rPr>
                <w:rFonts w:ascii="Calibri" w:hAnsi="Calibri"/>
                <w:sz w:val="22"/>
              </w:rPr>
              <w:t>Tax Withholding (Code F)</w:t>
            </w:r>
          </w:p>
        </w:tc>
        <w:tc>
          <w:tcPr>
            <w:tcW w:type="dxa" w:w="1440"/>
          </w:tcPr>
          <w:p>
            <w:r>
              <w:rPr>
                <w:rFonts w:ascii="Calibri" w:hAnsi="Calibri"/>
                <w:sz w:val="22"/>
              </w:rPr>
              <w:t>1,204 shares</w:t>
            </w:r>
          </w:p>
        </w:tc>
        <w:tc>
          <w:tcPr>
            <w:tcW w:type="dxa" w:w="1440"/>
          </w:tcPr>
          <w:p>
            <w:r>
              <w:rPr>
                <w:rFonts w:ascii="Calibri" w:hAnsi="Calibri"/>
                <w:sz w:val="22"/>
              </w:rPr>
              <w:t>May 5, 2026</w:t>
            </w:r>
          </w:p>
        </w:tc>
        <w:tc>
          <w:tcPr>
            <w:tcW w:type="dxa" w:w="1440"/>
          </w:tcPr>
          <w:p>
            <w:r>
              <w:rPr>
                <w:rFonts w:ascii="Calibri" w:hAnsi="Calibri"/>
                <w:sz w:val="22"/>
              </w:rPr>
              <w:t>Shares withheld for tax obligation; not a discretionary sale</w:t>
            </w:r>
          </w:p>
        </w:tc>
      </w:tr>
      <w:tr>
        <w:tc>
          <w:tcPr>
            <w:tcW w:type="dxa" w:w="1440"/>
          </w:tcPr>
          <w:p>
            <w:r>
              <w:rPr>
                <w:rFonts w:ascii="Calibri" w:hAnsi="Calibri"/>
                <w:sz w:val="22"/>
              </w:rPr>
              <w:t>Multiple Directors (8 individuals)</w:t>
            </w:r>
          </w:p>
        </w:tc>
        <w:tc>
          <w:tcPr>
            <w:tcW w:type="dxa" w:w="1440"/>
          </w:tcPr>
          <w:p>
            <w:r>
              <w:rPr>
                <w:rFonts w:ascii="Calibri" w:hAnsi="Calibri"/>
                <w:sz w:val="22"/>
              </w:rPr>
              <w:t>Board of Directors</w:t>
            </w:r>
          </w:p>
        </w:tc>
        <w:tc>
          <w:tcPr>
            <w:tcW w:type="dxa" w:w="1440"/>
          </w:tcPr>
          <w:p>
            <w:r>
              <w:rPr>
                <w:rFonts w:ascii="Calibri" w:hAnsi="Calibri"/>
                <w:sz w:val="22"/>
              </w:rPr>
              <w:t>Phantom RSU Grant (Code A)</w:t>
            </w:r>
          </w:p>
        </w:tc>
        <w:tc>
          <w:tcPr>
            <w:tcW w:type="dxa" w:w="1440"/>
          </w:tcPr>
          <w:p>
            <w:r>
              <w:rPr>
                <w:rFonts w:ascii="Calibri" w:hAnsi="Calibri"/>
                <w:sz w:val="22"/>
              </w:rPr>
              <w:t>992 shares each</w:t>
            </w:r>
          </w:p>
        </w:tc>
        <w:tc>
          <w:tcPr>
            <w:tcW w:type="dxa" w:w="1440"/>
          </w:tcPr>
          <w:p>
            <w:r>
              <w:rPr>
                <w:rFonts w:ascii="Calibri" w:hAnsi="Calibri"/>
                <w:sz w:val="22"/>
              </w:rPr>
              <w:t>May 7, 2026</w:t>
            </w:r>
          </w:p>
        </w:tc>
        <w:tc>
          <w:tcPr>
            <w:tcW w:type="dxa" w:w="1440"/>
          </w:tcPr>
          <w:p>
            <w:r>
              <w:rPr>
                <w:rFonts w:ascii="Calibri" w:hAnsi="Calibri"/>
                <w:sz w:val="22"/>
              </w:rPr>
              <w:t>Routine annual director compensation grants; not market purchases</w:t>
            </w:r>
          </w:p>
        </w:tc>
      </w:tr>
      <w:tr>
        <w:tc>
          <w:tcPr>
            <w:tcW w:type="dxa" w:w="1440"/>
          </w:tcPr>
          <w:p>
            <w:r>
              <w:rPr>
                <w:rFonts w:ascii="Calibri" w:hAnsi="Calibri"/>
                <w:sz w:val="22"/>
              </w:rPr>
              <w:t>Gokey, Timothy C. / Goodburn, Mark A.</w:t>
            </w:r>
          </w:p>
        </w:tc>
        <w:tc>
          <w:tcPr>
            <w:tcW w:type="dxa" w:w="1440"/>
          </w:tcPr>
          <w:p>
            <w:r>
              <w:rPr>
                <w:rFonts w:ascii="Calibri" w:hAnsi="Calibri"/>
                <w:sz w:val="22"/>
              </w:rPr>
              <w:t>Directors</w:t>
            </w:r>
          </w:p>
        </w:tc>
        <w:tc>
          <w:tcPr>
            <w:tcW w:type="dxa" w:w="1440"/>
          </w:tcPr>
          <w:p>
            <w:r>
              <w:rPr>
                <w:rFonts w:ascii="Calibri" w:hAnsi="Calibri"/>
                <w:sz w:val="22"/>
              </w:rPr>
              <w:t>Phantom RSU Grant (Code A)</w:t>
            </w:r>
          </w:p>
        </w:tc>
        <w:tc>
          <w:tcPr>
            <w:tcW w:type="dxa" w:w="1440"/>
          </w:tcPr>
          <w:p>
            <w:r>
              <w:rPr>
                <w:rFonts w:ascii="Calibri" w:hAnsi="Calibri"/>
                <w:sz w:val="22"/>
              </w:rPr>
              <w:t>163 / 193 shares</w:t>
            </w:r>
          </w:p>
        </w:tc>
        <w:tc>
          <w:tcPr>
            <w:tcW w:type="dxa" w:w="1440"/>
          </w:tcPr>
          <w:p>
            <w:r>
              <w:rPr>
                <w:rFonts w:ascii="Calibri" w:hAnsi="Calibri"/>
                <w:sz w:val="22"/>
              </w:rPr>
              <w:t>Jun 30, 2026</w:t>
            </w:r>
          </w:p>
        </w:tc>
        <w:tc>
          <w:tcPr>
            <w:tcW w:type="dxa" w:w="1440"/>
          </w:tcPr>
          <w:p>
            <w:r>
              <w:rPr>
                <w:rFonts w:ascii="Calibri" w:hAnsi="Calibri"/>
                <w:sz w:val="22"/>
              </w:rPr>
              <w:t>Routine director compensation grants; not market purchases</w:t>
            </w:r>
          </w:p>
        </w:tc>
      </w:tr>
    </w:tbl>
    <w:p>
      <w:r>
        <w:rPr>
          <w:rFonts w:ascii="Calibri" w:hAnsi="Calibri"/>
          <w:i/>
          <w:color w:val="525866"/>
          <w:sz w:val="22"/>
        </w:rPr>
        <w:t>Source: SEC Form 4 Filings (Insider Transaction Data). Open-market buys (Code P) and open-market sells (Code S): None filed since April 29, 2026. All activity consists of tax-withholding forfeitures (Code F) and RSU/phantom stock grants (Code A). No 10b5-1 plan initiations or discretionary transactions detected.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