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 Robinson Worldwide (CHRW)</w:t>
      </w:r>
    </w:p>
    <w:p>
      <w:pPr>
        <w:pStyle w:val="Heading2"/>
      </w:pPr>
      <w:r>
        <w:rPr>
          <w:rFonts w:ascii="Calibri" w:hAnsi="Calibri"/>
          <w:b/>
          <w:color w:val="3B4259"/>
          <w:sz w:val="28"/>
        </w:rPr>
        <w:t>Q2 2026 Earnings Preview</w:t>
      </w:r>
    </w:p>
    <w:p>
      <w:r>
        <w:rPr>
          <w:rFonts w:ascii="Calibri" w:hAnsi="Calibri"/>
          <w:b/>
          <w:color w:val="525866"/>
          <w:sz w:val="22"/>
        </w:rPr>
        <w:t xml:space="preserve">Earnings Date: </w:t>
      </w:r>
      <w:r>
        <w:rPr>
          <w:rFonts w:ascii="Calibri" w:hAnsi="Calibri"/>
          <w:color w:val="525866"/>
          <w:sz w:val="22"/>
        </w:rPr>
        <w:t xml:space="preserve">July 29, 2026 (After Market Close)   </w:t>
      </w:r>
      <w:r>
        <w:rPr>
          <w:rFonts w:ascii="Calibri" w:hAnsi="Calibri"/>
          <w:b/>
          <w:color w:val="525866"/>
          <w:sz w:val="22"/>
        </w:rPr>
        <w:t xml:space="preserve">Prepared: </w:t>
      </w:r>
      <w:r>
        <w:rPr>
          <w:rFonts w:ascii="Calibri" w:hAnsi="Calibri"/>
          <w:color w:val="525866"/>
          <w:sz w:val="22"/>
        </w:rPr>
        <w:t xml:space="preserve">July 28, 2026   </w:t>
      </w:r>
      <w:r>
        <w:rPr>
          <w:rFonts w:ascii="Calibri" w:hAnsi="Calibri"/>
          <w:b/>
          <w:color w:val="525866"/>
          <w:sz w:val="22"/>
        </w:rPr>
        <w:t xml:space="preserve">Reporting Period: </w:t>
      </w:r>
      <w:r>
        <w:rPr>
          <w:rFonts w:ascii="Calibri" w:hAnsi="Calibri"/>
          <w:color w:val="525866"/>
          <w:sz w:val="22"/>
        </w:rPr>
        <w:t xml:space="preserve">Q2 2026 (Quarter Ended June 30, 2026)   </w:t>
      </w:r>
      <w:r>
        <w:rPr>
          <w:rFonts w:ascii="Calibri" w:hAnsi="Calibri"/>
          <w:b/>
          <w:color w:val="525866"/>
          <w:sz w:val="22"/>
        </w:rPr>
        <w:t xml:space="preserve">Sector ETF Benchmark: </w:t>
      </w:r>
      <w:r>
        <w:rPr>
          <w:rFonts w:ascii="Calibri" w:hAnsi="Calibri"/>
          <w:color w:val="525866"/>
          <w:sz w:val="22"/>
        </w:rPr>
        <w:t>XLI (Industrial Select Sector SPDR)</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Setup leans </w:t>
      </w:r>
      <w:r>
        <w:rPr>
          <w:rFonts w:ascii="Calibri" w:hAnsi="Calibri"/>
          <w:b/>
          <w:color w:val="30A46C"/>
          <w:sz w:val="22"/>
        </w:rPr>
        <w:t>cautiously positive</w:t>
      </w:r>
      <w:r>
        <w:rPr>
          <w:rFonts w:ascii="Calibri" w:hAnsi="Calibri"/>
          <w:color w:val="525866"/>
          <w:sz w:val="22"/>
        </w:rPr>
        <w:t xml:space="preserve"> — consensus is a manageable bar and the freight cycle has turned sharply in CHRW's favor, but the $604M Dallas jury verdict disclosed July 24 is the single biggest wildcard heading into the print.</w:t>
      </w:r>
    </w:p>
    <w:p>
      <w:r>
        <w:rPr>
          <w:rFonts w:ascii="Calibri" w:hAnsi="Calibri"/>
          <w:color w:val="525866"/>
          <w:sz w:val="22"/>
        </w:rPr>
        <w:t xml:space="preserve">Heading into Q2 2026, the setup for CHRW is constructive on fundamentals but complicated by a material legal overhang. </w:t>
      </w:r>
      <w:r>
        <w:rPr>
          <w:rFonts w:ascii="Calibri" w:hAnsi="Calibri"/>
          <w:b/>
          <w:color w:val="525866"/>
          <w:sz w:val="22"/>
        </w:rPr>
        <w:t>Consensus EPS of ~$1.50 (operating, diluted) represents a modest bar</w:t>
      </w:r>
      <w:r>
        <w:rPr>
          <w:rFonts w:ascii="Calibri" w:hAnsi="Calibri"/>
          <w:color w:val="525866"/>
          <w:sz w:val="22"/>
        </w:rPr>
        <w:t xml:space="preserve"> relative to the structural tailwinds now in place: truckload spot rates surged ~40% year-over-year through Q2 (per peer commentary from RXO, KNX, LSTR, and WERN), tender rejection rates hit levels not seen since 2021, and CHRW's own Q1 call guided to a 17% full-year dry van spot rate increase — a figure that, if anything, appears conservative given Q2 market data. Management's tone on the April 29 Q1 call was notably confident: they reaffirmed the $6 FY2026 EPS target (zero market growth assumed), raised the full-year operating income target to $965M–$1.04B, and explicitly committed to double-digit productivity gains in both NAST and Global Forwarding, over-indexed to H2. Estimate revisions have been modestly negative since Q1 (from ~$1.53 to ~$1.50 for Q2), suggesting the Street has not fully priced in the rate acceleration visible in peer prints — creating a potential cushion. The stock has given back roughly 9% from its July 21 high of ~$209 to ~$169 as of July 29 (the day of the print), driven almost entirely by the July 24 disclosure of a $604M advisory jury verdict in a Dallas trucking lawsuit — a development that has reset sentiment and may be creating an attractive entry point if the legal risk is manageable. The wildcard is the verdict itself: while CHRW disagrees with the ruling, plans to appeal, and the advisory verdict is not yet final, the market is pricing in meaningful tail risk, and any incremental commentary on the litigation's scope, insurance coverage, or settlement probability will likely dominate the Q&amp;A.</w:t>
      </w:r>
    </w:p>
    <w:p>
      <w:r>
        <w:rPr>
          <w:rFonts w:ascii="Calibri" w:hAnsi="Calibri"/>
          <w:b/>
          <w:color w:val="525866"/>
          <w:sz w:val="22"/>
        </w:rPr>
        <w:t xml:space="preserve">Bar: </w:t>
      </w:r>
      <w:r>
        <w:rPr>
          <w:rFonts w:ascii="Calibri" w:hAnsi="Calibri"/>
          <w:color w:val="525866"/>
          <w:sz w:val="22"/>
        </w:rPr>
        <w:t>Consensus Q2 operating EPS of ~$1.50 is a low-to-moderate bar. Peer prints (JBHT, KNX, LSTR, WERN, TFII) all beat and raised, and the freight rate environment in Q2 was materially stronger than what was embedded in early-year estimates.</w:t>
      </w:r>
    </w:p>
    <w:p>
      <w:r>
        <w:rPr>
          <w:rFonts w:ascii="Calibri" w:hAnsi="Calibri"/>
          <w:b/>
          <w:color w:val="525866"/>
          <w:sz w:val="22"/>
        </w:rPr>
        <w:t xml:space="preserve">Guidance/Tone: </w:t>
      </w:r>
      <w:r>
        <w:rPr>
          <w:rFonts w:ascii="Calibri" w:hAnsi="Calibri"/>
          <w:color w:val="525866"/>
          <w:sz w:val="22"/>
        </w:rPr>
        <w:t>Management's posture on the Q1 call was the most confident in the transformation cycle — explicitly benchmarking against competitors, declaring M&amp;A readiness, and reaffirming $6 EPS with no market growth assumed. No post-earnings guidance revisions have been issued.</w:t>
      </w:r>
    </w:p>
    <w:p>
      <w:r>
        <w:rPr>
          <w:rFonts w:ascii="Calibri" w:hAnsi="Calibri"/>
          <w:b/>
          <w:color w:val="525866"/>
          <w:sz w:val="22"/>
        </w:rPr>
        <w:t xml:space="preserve">Estimate Trajectory: </w:t>
      </w:r>
      <w:r>
        <w:rPr>
          <w:rFonts w:ascii="Calibri" w:hAnsi="Calibri"/>
          <w:color w:val="525866"/>
          <w:sz w:val="22"/>
        </w:rPr>
        <w:t>Q2 estimates drifted slightly lower post-Q1 (from ~$1.53 to ~$1.50), while FY2026 estimates are essentially flat (~$6.15). The modest downward drift in Q2 estimates despite a strengthening rate environment suggests the Street is being conservative — a potential beat cushion.</w:t>
      </w:r>
    </w:p>
    <w:p>
      <w:r>
        <w:rPr>
          <w:rFonts w:ascii="Calibri" w:hAnsi="Calibri"/>
          <w:b/>
          <w:color w:val="525866"/>
          <w:sz w:val="22"/>
        </w:rPr>
        <w:t xml:space="preserve">Stock Setup: </w:t>
      </w:r>
      <w:r>
        <w:rPr>
          <w:rFonts w:ascii="Calibri" w:hAnsi="Calibri"/>
          <w:color w:val="525866"/>
          <w:sz w:val="22"/>
        </w:rPr>
        <w:t>CHRW trades at ~25.3x NTM P/E, a ~19% premium to the peer group average (ex-outliers), up sharply from a ~12% discount one year ago. The stock is down ~9% from its July 21 high, almost entirely attributable to the $604M jury verdict disclosure. At ~$169, the stock is pricing in meaningful legal risk on top of the freight cycle recovery.</w:t>
      </w:r>
    </w:p>
    <w:p>
      <w:r>
        <w:rPr>
          <w:rFonts w:ascii="Calibri" w:hAnsi="Calibri"/>
          <w:b/>
          <w:color w:val="525866"/>
          <w:sz w:val="22"/>
        </w:rPr>
        <w:t xml:space="preserve">Wildcard: </w:t>
      </w:r>
      <w:r>
        <w:rPr>
          <w:rFonts w:ascii="Calibri" w:hAnsi="Calibri"/>
          <w:color w:val="525866"/>
          <w:sz w:val="22"/>
        </w:rPr>
        <w:t xml:space="preserve">The </w:t>
      </w:r>
      <w:r>
        <w:rPr>
          <w:rFonts w:ascii="Calibri" w:hAnsi="Calibri"/>
          <w:b/>
          <w:color w:val="E5484D"/>
          <w:sz w:val="22"/>
        </w:rPr>
        <w:t>$604M Dallas advisory jury verdict</w:t>
      </w:r>
      <w:r>
        <w:rPr>
          <w:rFonts w:ascii="Calibri" w:hAnsi="Calibri"/>
          <w:color w:val="525866"/>
          <w:sz w:val="22"/>
        </w:rPr>
        <w:t xml:space="preserve"> (disclosed July 24 via 8-K) is the dominant near-term risk. CHRW disagrees with the verdict and plans to appeal; the verdict is not yet final and remains subject to post-trial proceedings. Management's characterization of insurance coverage, balance sheet capacity, and litigation strategy will be the most market-moving element of the Q2 call.</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w:t>
      </w:r>
      <w:r>
        <w:rPr>
          <w:rFonts w:ascii="Calibri" w:hAnsi="Calibri"/>
          <w:color w:val="525866"/>
          <w:sz w:val="22"/>
        </w:rPr>
        <w:t xml:space="preserve"> across all key metrics. The biggest swing factor is </w:t>
      </w:r>
      <w:r>
        <w:rPr>
          <w:rFonts w:ascii="Calibri" w:hAnsi="Calibri"/>
          <w:b/>
          <w:color w:val="525866"/>
          <w:sz w:val="22"/>
        </w:rPr>
        <w:t>NAST gross margin</w:t>
      </w:r>
      <w:r>
        <w:rPr>
          <w:rFonts w:ascii="Calibri" w:hAnsi="Calibri"/>
          <w:color w:val="525866"/>
          <w:sz w:val="22"/>
        </w:rPr>
        <w:t xml:space="preserve"> — whether CHRW can again hold or expand margin despite elevated spot costs, as it did in Q1, will determine whether the print is a beat or a miss. Global Forwarding AGP is the secondary swing factor given ocean rate volatility.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(Diluted)</w:t>
            </w:r>
          </w:p>
        </w:tc>
        <w:tc>
          <w:tcPr>
            <w:tcW w:type="dxa" w:w="1234"/>
          </w:tcPr>
          <w:p>
            <w:r>
              <w:rPr>
                <w:rFonts w:ascii="Calibri" w:hAnsi="Calibri"/>
                <w:sz w:val="22"/>
              </w:rPr>
              <w:t>$1.35</w:t>
            </w:r>
          </w:p>
        </w:tc>
        <w:tc>
          <w:tcPr>
            <w:tcW w:type="dxa" w:w="1234"/>
          </w:tcPr>
          <w:p>
            <w:r>
              <w:rPr>
                <w:rFonts w:ascii="Calibri" w:hAnsi="Calibri"/>
                <w:sz w:val="22"/>
              </w:rPr>
              <w:t>$1.29</w:t>
            </w:r>
          </w:p>
        </w:tc>
        <w:tc>
          <w:tcPr>
            <w:tcW w:type="dxa" w:w="1234"/>
          </w:tcPr>
          <w:p>
            <w:r>
              <w:rPr>
                <w:rFonts w:ascii="Calibri" w:hAnsi="Calibri"/>
                <w:sz w:val="22"/>
              </w:rPr>
              <w:t>$1.50</w:t>
            </w:r>
          </w:p>
        </w:tc>
        <w:tc>
          <w:tcPr>
            <w:tcW w:type="dxa" w:w="1234"/>
          </w:tcPr>
          <w:p>
            <w:r>
              <w:rPr>
                <w:rFonts w:ascii="Calibri" w:hAnsi="Calibri"/>
                <w:b/>
                <w:color w:val="30A46C"/>
                <w:sz w:val="22"/>
              </w:rPr>
              <w:t>+16.3% YoY</w:t>
            </w:r>
          </w:p>
        </w:tc>
        <w:tc>
          <w:tcPr>
            <w:tcW w:type="dxa" w:w="1234"/>
          </w:tcPr>
          <w:p>
            <w:r>
              <w:rPr>
                <w:rFonts w:ascii="Calibri" w:hAnsi="Calibri"/>
                <w:sz w:val="22"/>
              </w:rPr>
              <w:t>$6.00 FY2026 (implies ~$1.50 Q2 at midpoint)</w:t>
            </w:r>
          </w:p>
        </w:tc>
        <w:tc>
          <w:tcPr>
            <w:tcW w:type="dxa" w:w="1234"/>
          </w:tcPr>
          <w:p>
            <w:r>
              <w:rPr>
                <w:rFonts w:ascii="Calibri" w:hAnsi="Calibri"/>
                <w:sz w:val="22"/>
              </w:rPr>
              <w:t>~Inline</w:t>
            </w:r>
          </w:p>
        </w:tc>
      </w:tr>
      <w:tr>
        <w:tc>
          <w:tcPr>
            <w:tcW w:type="dxa" w:w="1234"/>
          </w:tcPr>
          <w:p>
            <w:r>
              <w:rPr>
                <w:rFonts w:ascii="Calibri" w:hAnsi="Calibri"/>
                <w:sz w:val="22"/>
              </w:rPr>
              <w:t>Gross Revenue</w:t>
            </w:r>
          </w:p>
        </w:tc>
        <w:tc>
          <w:tcPr>
            <w:tcW w:type="dxa" w:w="1234"/>
          </w:tcPr>
          <w:p>
            <w:r>
              <w:rPr>
                <w:rFonts w:ascii="Calibri" w:hAnsi="Calibri"/>
                <w:sz w:val="22"/>
              </w:rPr>
              <w:t>$4.013B</w:t>
            </w:r>
          </w:p>
        </w:tc>
        <w:tc>
          <w:tcPr>
            <w:tcW w:type="dxa" w:w="1234"/>
          </w:tcPr>
          <w:p>
            <w:r>
              <w:rPr>
                <w:rFonts w:ascii="Calibri" w:hAnsi="Calibri"/>
                <w:sz w:val="22"/>
              </w:rPr>
              <w:t>$4.137B</w:t>
            </w:r>
          </w:p>
        </w:tc>
        <w:tc>
          <w:tcPr>
            <w:tcW w:type="dxa" w:w="1234"/>
          </w:tcPr>
          <w:p>
            <w:r>
              <w:rPr>
                <w:rFonts w:ascii="Calibri" w:hAnsi="Calibri"/>
                <w:sz w:val="22"/>
              </w:rPr>
              <w:t>$4.379B</w:t>
            </w:r>
          </w:p>
        </w:tc>
        <w:tc>
          <w:tcPr>
            <w:tcW w:type="dxa" w:w="1234"/>
          </w:tcPr>
          <w:p>
            <w:r>
              <w:rPr>
                <w:rFonts w:ascii="Calibri" w:hAnsi="Calibri"/>
                <w:b/>
                <w:color w:val="30A46C"/>
                <w:sz w:val="22"/>
              </w:rPr>
              <w:t>+5.9% YoY</w:t>
            </w:r>
          </w:p>
        </w:tc>
        <w:tc>
          <w:tcPr>
            <w:tcW w:type="dxa" w:w="1234"/>
          </w:tcPr>
          <w:p>
            <w:r>
              <w:rPr>
                <w:rFonts w:ascii="Calibri" w:hAnsi="Calibri"/>
                <w:sz w:val="22"/>
              </w:rPr>
              <w:t>No explicit quarterly revenue guidance</w:t>
            </w:r>
          </w:p>
        </w:tc>
        <w:tc>
          <w:tcPr>
            <w:tcW w:type="dxa" w:w="1234"/>
          </w:tcPr>
          <w:p>
            <w:r>
              <w:rPr>
                <w:rFonts w:ascii="Calibri" w:hAnsi="Calibri"/>
                <w:sz w:val="22"/>
              </w:rPr>
              <w:t>N/A</w:t>
            </w:r>
          </w:p>
        </w:tc>
      </w:tr>
      <w:tr>
        <w:tc>
          <w:tcPr>
            <w:tcW w:type="dxa" w:w="1234"/>
          </w:tcPr>
          <w:p>
            <w:r>
              <w:rPr>
                <w:rFonts w:ascii="Calibri" w:hAnsi="Calibri"/>
                <w:sz w:val="22"/>
              </w:rPr>
              <w:t>NAST Operating Income (Operating)</w:t>
            </w:r>
          </w:p>
        </w:tc>
        <w:tc>
          <w:tcPr>
            <w:tcW w:type="dxa" w:w="1234"/>
          </w:tcPr>
          <w:p>
            <w:r>
              <w:rPr>
                <w:rFonts w:ascii="Calibri" w:hAnsi="Calibri"/>
                <w:sz w:val="22"/>
              </w:rPr>
              <w:t>$161.2M</w:t>
            </w:r>
          </w:p>
        </w:tc>
        <w:tc>
          <w:tcPr>
            <w:tcW w:type="dxa" w:w="1234"/>
          </w:tcPr>
          <w:p>
            <w:r>
              <w:rPr>
                <w:rFonts w:ascii="Calibri" w:hAnsi="Calibri"/>
                <w:sz w:val="22"/>
              </w:rPr>
              <w:t>$164.7M</w:t>
            </w:r>
          </w:p>
        </w:tc>
        <w:tc>
          <w:tcPr>
            <w:tcW w:type="dxa" w:w="1234"/>
          </w:tcPr>
          <w:p>
            <w:r>
              <w:rPr>
                <w:rFonts w:ascii="Calibri" w:hAnsi="Calibri"/>
                <w:sz w:val="22"/>
              </w:rPr>
              <w:t>$187.4M</w:t>
            </w:r>
          </w:p>
        </w:tc>
        <w:tc>
          <w:tcPr>
            <w:tcW w:type="dxa" w:w="1234"/>
          </w:tcPr>
          <w:p>
            <w:r>
              <w:rPr>
                <w:rFonts w:ascii="Calibri" w:hAnsi="Calibri"/>
                <w:b/>
                <w:color w:val="30A46C"/>
                <w:sz w:val="22"/>
              </w:rPr>
              <w:t>+13.8% YoY</w:t>
            </w:r>
          </w:p>
        </w:tc>
        <w:tc>
          <w:tcPr>
            <w:tcW w:type="dxa" w:w="1234"/>
          </w:tcPr>
          <w:p>
            <w:r>
              <w:rPr>
                <w:rFonts w:ascii="Calibri" w:hAnsi="Calibri"/>
                <w:sz w:val="22"/>
              </w:rPr>
              <w:t>FY2026 OI target: $965M–$1.04B</w:t>
            </w:r>
          </w:p>
        </w:tc>
        <w:tc>
          <w:tcPr>
            <w:tcW w:type="dxa" w:w="1234"/>
          </w:tcPr>
          <w:p>
            <w:r>
              <w:rPr>
                <w:rFonts w:ascii="Calibri" w:hAnsi="Calibri"/>
                <w:sz w:val="22"/>
              </w:rPr>
              <w:t>N/A (quarterly not broken out)</w:t>
            </w:r>
          </w:p>
        </w:tc>
      </w:tr>
      <w:tr>
        <w:tc>
          <w:tcPr>
            <w:tcW w:type="dxa" w:w="1234"/>
          </w:tcPr>
          <w:p>
            <w:r>
              <w:rPr>
                <w:rFonts w:ascii="Calibri" w:hAnsi="Calibri"/>
                <w:sz w:val="22"/>
              </w:rPr>
              <w:t>NAST Operating Margin % (Operating)</w:t>
            </w:r>
          </w:p>
        </w:tc>
        <w:tc>
          <w:tcPr>
            <w:tcW w:type="dxa" w:w="1234"/>
          </w:tcPr>
          <w:p>
            <w:r>
              <w:rPr>
                <w:rFonts w:ascii="Calibri" w:hAnsi="Calibri"/>
                <w:sz w:val="22"/>
              </w:rPr>
              <w:t>5.47%</w:t>
            </w:r>
          </w:p>
        </w:tc>
        <w:tc>
          <w:tcPr>
            <w:tcW w:type="dxa" w:w="1234"/>
          </w:tcPr>
          <w:p>
            <w:r>
              <w:rPr>
                <w:rFonts w:ascii="Calibri" w:hAnsi="Calibri"/>
                <w:sz w:val="22"/>
              </w:rPr>
              <w:t>5.64%</w:t>
            </w:r>
          </w:p>
        </w:tc>
        <w:tc>
          <w:tcPr>
            <w:tcW w:type="dxa" w:w="1234"/>
          </w:tcPr>
          <w:p>
            <w:r>
              <w:rPr>
                <w:rFonts w:ascii="Calibri" w:hAnsi="Calibri"/>
                <w:sz w:val="22"/>
              </w:rPr>
              <w:t>5.87%</w:t>
            </w:r>
          </w:p>
        </w:tc>
        <w:tc>
          <w:tcPr>
            <w:tcW w:type="dxa" w:w="1234"/>
          </w:tcPr>
          <w:p>
            <w:r>
              <w:rPr>
                <w:rFonts w:ascii="Calibri" w:hAnsi="Calibri"/>
                <w:b/>
                <w:color w:val="30A46C"/>
                <w:sz w:val="22"/>
              </w:rPr>
              <w:t>+23 bps YoY</w:t>
            </w:r>
          </w:p>
        </w:tc>
        <w:tc>
          <w:tcPr>
            <w:tcW w:type="dxa" w:w="1234"/>
          </w:tcPr>
          <w:p>
            <w:r>
              <w:rPr>
                <w:rFonts w:ascii="Calibri" w:hAnsi="Calibri"/>
                <w:sz w:val="22"/>
              </w:rPr>
              <w:t>Mid-cycle target: 40% gross margin</w:t>
            </w:r>
          </w:p>
        </w:tc>
        <w:tc>
          <w:tcPr>
            <w:tcW w:type="dxa" w:w="1234"/>
          </w:tcPr>
          <w:p>
            <w:r>
              <w:rPr>
                <w:rFonts w:ascii="Calibri" w:hAnsi="Calibri"/>
                <w:sz w:val="22"/>
              </w:rPr>
              <w:t>N/A</w:t>
            </w:r>
          </w:p>
        </w:tc>
      </w:tr>
      <w:tr>
        <w:tc>
          <w:tcPr>
            <w:tcW w:type="dxa" w:w="1234"/>
          </w:tcPr>
          <w:p>
            <w:r>
              <w:rPr>
                <w:rFonts w:ascii="Calibri" w:hAnsi="Calibri"/>
                <w:sz w:val="22"/>
              </w:rPr>
              <w:t>Global Forwarding AGP (Operating)</w:t>
            </w:r>
          </w:p>
        </w:tc>
        <w:tc>
          <w:tcPr>
            <w:tcW w:type="dxa" w:w="1234"/>
          </w:tcPr>
          <w:p>
            <w:r>
              <w:rPr>
                <w:rFonts w:ascii="Calibri" w:hAnsi="Calibri"/>
                <w:sz w:val="22"/>
              </w:rPr>
              <w:t>$162.3M</w:t>
            </w:r>
          </w:p>
        </w:tc>
        <w:tc>
          <w:tcPr>
            <w:tcW w:type="dxa" w:w="1234"/>
          </w:tcPr>
          <w:p>
            <w:r>
              <w:rPr>
                <w:rFonts w:ascii="Calibri" w:hAnsi="Calibri"/>
                <w:sz w:val="22"/>
              </w:rPr>
              <w:t>$187.6M</w:t>
            </w:r>
          </w:p>
        </w:tc>
        <w:tc>
          <w:tcPr>
            <w:tcW w:type="dxa" w:w="1234"/>
          </w:tcPr>
          <w:p>
            <w:r>
              <w:rPr>
                <w:rFonts w:ascii="Calibri" w:hAnsi="Calibri"/>
                <w:sz w:val="22"/>
              </w:rPr>
              <w:t>$181.2M</w:t>
            </w:r>
          </w:p>
        </w:tc>
        <w:tc>
          <w:tcPr>
            <w:tcW w:type="dxa" w:w="1234"/>
          </w:tcPr>
          <w:p>
            <w:r>
              <w:rPr>
                <w:rFonts w:ascii="Calibri" w:hAnsi="Calibri"/>
                <w:b/>
                <w:color w:val="E5484D"/>
                <w:sz w:val="22"/>
              </w:rPr>
              <w:t>-3.4% YoY</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bl>
    <w:p>
      <w:r>
        <w:rPr>
          <w:rFonts w:ascii="Calibri" w:hAnsi="Calibri"/>
          <w:b/>
          <w:color w:val="525866"/>
          <w:sz w:val="22"/>
        </w:rPr>
        <w:t xml:space="preserve">Source: </w:t>
      </w:r>
      <w:r>
        <w:rPr>
          <w:rFonts w:ascii="Calibri" w:hAnsi="Calibri"/>
          <w:color w:val="525866"/>
          <w:sz w:val="22"/>
        </w:rPr>
        <w:t>Visible Alpha Consensus and Actuals Data. All consensus figures as of July 28, 2026. Operating EPS is the adjusted/operating diluted EPS figure (excludes restructuring charges). NAST Operating Margin % is the operating segment margin. Global Forwarding AGP is the adjusted gross profit for the Global Forwarding segment.</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KPI 1: 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$1.35</w:t>
            </w:r>
          </w:p>
        </w:tc>
        <w:tc>
          <w:tcPr>
            <w:tcW w:type="dxa" w:w="1728"/>
          </w:tcPr>
          <w:p>
            <w:r>
              <w:rPr>
                <w:rFonts w:ascii="Calibri" w:hAnsi="Calibri"/>
                <w:sz w:val="22"/>
              </w:rPr>
              <w:t>$1.25</w:t>
            </w:r>
          </w:p>
        </w:tc>
        <w:tc>
          <w:tcPr>
            <w:tcW w:type="dxa" w:w="1728"/>
          </w:tcPr>
          <w:p>
            <w:r>
              <w:rPr>
                <w:rFonts w:ascii="Calibri" w:hAnsi="Calibri"/>
                <w:b/>
                <w:color w:val="30A46C"/>
                <w:sz w:val="22"/>
              </w:rPr>
              <w:t>+8.0%</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$1.23</w:t>
            </w:r>
          </w:p>
        </w:tc>
        <w:tc>
          <w:tcPr>
            <w:tcW w:type="dxa" w:w="1728"/>
          </w:tcPr>
          <w:p>
            <w:r>
              <w:rPr>
                <w:rFonts w:ascii="Calibri" w:hAnsi="Calibri"/>
                <w:sz w:val="22"/>
              </w:rPr>
              <w:t>$1.12</w:t>
            </w:r>
          </w:p>
        </w:tc>
        <w:tc>
          <w:tcPr>
            <w:tcW w:type="dxa" w:w="1728"/>
          </w:tcPr>
          <w:p>
            <w:r>
              <w:rPr>
                <w:rFonts w:ascii="Calibri" w:hAnsi="Calibri"/>
                <w:b/>
                <w:color w:val="30A46C"/>
                <w:sz w:val="22"/>
              </w:rPr>
              <w:t>+9.8%</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$1.40</w:t>
            </w:r>
          </w:p>
        </w:tc>
        <w:tc>
          <w:tcPr>
            <w:tcW w:type="dxa" w:w="1728"/>
          </w:tcPr>
          <w:p>
            <w:r>
              <w:rPr>
                <w:rFonts w:ascii="Calibri" w:hAnsi="Calibri"/>
                <w:sz w:val="22"/>
              </w:rPr>
              <w:t>$1.30</w:t>
            </w:r>
          </w:p>
        </w:tc>
        <w:tc>
          <w:tcPr>
            <w:tcW w:type="dxa" w:w="1728"/>
          </w:tcPr>
          <w:p>
            <w:r>
              <w:rPr>
                <w:rFonts w:ascii="Calibri" w:hAnsi="Calibri"/>
                <w:b/>
                <w:color w:val="30A46C"/>
                <w:sz w:val="22"/>
              </w:rPr>
              <w:t>+7.7%</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$1.29</w:t>
            </w:r>
          </w:p>
        </w:tc>
        <w:tc>
          <w:tcPr>
            <w:tcW w:type="dxa" w:w="1728"/>
          </w:tcPr>
          <w:p>
            <w:r>
              <w:rPr>
                <w:rFonts w:ascii="Calibri" w:hAnsi="Calibri"/>
                <w:sz w:val="22"/>
              </w:rPr>
              <w:t>$1.16</w:t>
            </w:r>
          </w:p>
        </w:tc>
        <w:tc>
          <w:tcPr>
            <w:tcW w:type="dxa" w:w="1728"/>
          </w:tcPr>
          <w:p>
            <w:r>
              <w:rPr>
                <w:rFonts w:ascii="Calibri" w:hAnsi="Calibri"/>
                <w:b/>
                <w:color w:val="30A46C"/>
                <w:sz w:val="22"/>
              </w:rPr>
              <w:t>+11.2%</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$1.17</w:t>
            </w:r>
          </w:p>
        </w:tc>
        <w:tc>
          <w:tcPr>
            <w:tcW w:type="dxa" w:w="1728"/>
          </w:tcPr>
          <w:p>
            <w:r>
              <w:rPr>
                <w:rFonts w:ascii="Calibri" w:hAnsi="Calibri"/>
                <w:sz w:val="22"/>
              </w:rPr>
              <w:t>$1.06</w:t>
            </w:r>
          </w:p>
        </w:tc>
        <w:tc>
          <w:tcPr>
            <w:tcW w:type="dxa" w:w="1728"/>
          </w:tcPr>
          <w:p>
            <w:r>
              <w:rPr>
                <w:rFonts w:ascii="Calibri" w:hAnsi="Calibri"/>
                <w:b/>
                <w:color w:val="30A46C"/>
                <w:sz w:val="22"/>
              </w:rPr>
              <w:t>+10.4%</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$1.21</w:t>
            </w:r>
          </w:p>
        </w:tc>
        <w:tc>
          <w:tcPr>
            <w:tcW w:type="dxa" w:w="1728"/>
          </w:tcPr>
          <w:p>
            <w:r>
              <w:rPr>
                <w:rFonts w:ascii="Calibri" w:hAnsi="Calibri"/>
                <w:sz w:val="22"/>
              </w:rPr>
              <w:t>$1.10</w:t>
            </w:r>
          </w:p>
        </w:tc>
        <w:tc>
          <w:tcPr>
            <w:tcW w:type="dxa" w:w="1728"/>
          </w:tcPr>
          <w:p>
            <w:r>
              <w:rPr>
                <w:rFonts w:ascii="Calibri" w:hAnsi="Calibri"/>
                <w:b/>
                <w:color w:val="30A46C"/>
                <w:sz w:val="22"/>
              </w:rPr>
              <w:t>+10.0%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$1.28</w:t>
            </w:r>
          </w:p>
        </w:tc>
        <w:tc>
          <w:tcPr>
            <w:tcW w:type="dxa" w:w="1728"/>
          </w:tcPr>
          <w:p>
            <w:r>
              <w:rPr>
                <w:rFonts w:ascii="Calibri" w:hAnsi="Calibri"/>
                <w:sz w:val="22"/>
              </w:rPr>
              <w:t>$1.17</w:t>
            </w:r>
          </w:p>
        </w:tc>
        <w:tc>
          <w:tcPr>
            <w:tcW w:type="dxa" w:w="1728"/>
          </w:tcPr>
          <w:p>
            <w:r>
              <w:rPr>
                <w:rFonts w:ascii="Calibri" w:hAnsi="Calibri"/>
                <w:b/>
                <w:color w:val="30A46C"/>
                <w:sz w:val="22"/>
              </w:rPr>
              <w:t>+9.4%</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$1.29</w:t>
            </w:r>
          </w:p>
        </w:tc>
        <w:tc>
          <w:tcPr>
            <w:tcW w:type="dxa" w:w="1728"/>
          </w:tcPr>
          <w:p>
            <w:r>
              <w:rPr>
                <w:rFonts w:ascii="Calibri" w:hAnsi="Calibri"/>
                <w:sz w:val="22"/>
              </w:rPr>
              <w:t>$1.16</w:t>
            </w:r>
          </w:p>
        </w:tc>
        <w:tc>
          <w:tcPr>
            <w:tcW w:type="dxa" w:w="1728"/>
          </w:tcPr>
          <w:p>
            <w:r>
              <w:rPr>
                <w:rFonts w:ascii="Calibri" w:hAnsi="Calibri"/>
                <w:b/>
                <w:color w:val="30A46C"/>
                <w:sz w:val="22"/>
              </w:rPr>
              <w:t>+11.2%</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CHRW has beaten operating EPS consensus in each of the last 8 consecutive quarters, with surprise magnitudes consistently in the +8% to +11% range — a remarkably consistent beat cadence that reflects both conservative Street modeling and CHRW's structural margin outperformance. Source: Visible Alpha Consensus and Actuals Data.</w:t>
      </w:r>
    </w:p>
    <w:p>
      <w:pPr>
        <w:pStyle w:val="Heading4"/>
      </w:pPr>
      <w:r>
        <w:rPr>
          <w:rFonts w:ascii="Calibri" w:hAnsi="Calibri"/>
          <w:b/>
          <w:color w:val="3B4259"/>
          <w:sz w:val="22"/>
        </w:rPr>
        <w:t>KPI 2: NAST Operating Income (Operating Segment)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$161.2M</w:t>
            </w:r>
          </w:p>
        </w:tc>
        <w:tc>
          <w:tcPr>
            <w:tcW w:type="dxa" w:w="1728"/>
          </w:tcPr>
          <w:p>
            <w:r>
              <w:rPr>
                <w:rFonts w:ascii="Calibri" w:hAnsi="Calibri"/>
                <w:sz w:val="22"/>
              </w:rPr>
              <w:t>$149.6M</w:t>
            </w:r>
          </w:p>
        </w:tc>
        <w:tc>
          <w:tcPr>
            <w:tcW w:type="dxa" w:w="1728"/>
          </w:tcPr>
          <w:p>
            <w:r>
              <w:rPr>
                <w:rFonts w:ascii="Calibri" w:hAnsi="Calibri"/>
                <w:b/>
                <w:color w:val="30A46C"/>
                <w:sz w:val="22"/>
              </w:rPr>
              <w:t>+7.8%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$149.9M</w:t>
            </w:r>
          </w:p>
        </w:tc>
        <w:tc>
          <w:tcPr>
            <w:tcW w:type="dxa" w:w="1728"/>
          </w:tcPr>
          <w:p>
            <w:r>
              <w:rPr>
                <w:rFonts w:ascii="Calibri" w:hAnsi="Calibri"/>
                <w:sz w:val="22"/>
              </w:rPr>
              <w:t>$150.4M</w:t>
            </w:r>
          </w:p>
        </w:tc>
        <w:tc>
          <w:tcPr>
            <w:tcW w:type="dxa" w:w="1728"/>
          </w:tcPr>
          <w:p>
            <w:r>
              <w:rPr>
                <w:rFonts w:ascii="Calibri" w:hAnsi="Calibri"/>
                <w:b/>
                <w:color w:val="E5484D"/>
                <w:sz w:val="22"/>
              </w:rPr>
              <w:t>-0.3%</w:t>
            </w:r>
          </w:p>
        </w:tc>
        <w:tc>
          <w:tcPr>
            <w:tcW w:type="dxa" w:w="1728"/>
          </w:tcPr>
          <w:p>
            <w:r>
              <w:rPr>
                <w:rFonts w:ascii="Calibri" w:hAnsi="Calibri"/>
                <w:sz w:val="22"/>
              </w:rPr>
              <w:t>MISS (slight)</w:t>
            </w:r>
          </w:p>
        </w:tc>
      </w:tr>
      <w:tr>
        <w:tc>
          <w:tcPr>
            <w:tcW w:type="dxa" w:w="1728"/>
          </w:tcPr>
          <w:p>
            <w:r>
              <w:rPr>
                <w:rFonts w:ascii="Calibri" w:hAnsi="Calibri"/>
                <w:sz w:val="22"/>
              </w:rPr>
              <w:t>Q3 2025</w:t>
            </w:r>
          </w:p>
        </w:tc>
        <w:tc>
          <w:tcPr>
            <w:tcW w:type="dxa" w:w="1728"/>
          </w:tcPr>
          <w:p>
            <w:r>
              <w:rPr>
                <w:rFonts w:ascii="Calibri" w:hAnsi="Calibri"/>
                <w:sz w:val="22"/>
              </w:rPr>
              <w:t>$174.2M</w:t>
            </w:r>
          </w:p>
        </w:tc>
        <w:tc>
          <w:tcPr>
            <w:tcW w:type="dxa" w:w="1728"/>
          </w:tcPr>
          <w:p>
            <w:r>
              <w:rPr>
                <w:rFonts w:ascii="Calibri" w:hAnsi="Calibri"/>
                <w:sz w:val="22"/>
              </w:rPr>
              <w:t>$162.2M</w:t>
            </w:r>
          </w:p>
        </w:tc>
        <w:tc>
          <w:tcPr>
            <w:tcW w:type="dxa" w:w="1728"/>
          </w:tcPr>
          <w:p>
            <w:r>
              <w:rPr>
                <w:rFonts w:ascii="Calibri" w:hAnsi="Calibri"/>
                <w:b/>
                <w:color w:val="30A46C"/>
                <w:sz w:val="22"/>
              </w:rPr>
              <w:t>+7.4%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$164.7M</w:t>
            </w:r>
          </w:p>
        </w:tc>
        <w:tc>
          <w:tcPr>
            <w:tcW w:type="dxa" w:w="1728"/>
          </w:tcPr>
          <w:p>
            <w:r>
              <w:rPr>
                <w:rFonts w:ascii="Calibri" w:hAnsi="Calibri"/>
                <w:sz w:val="22"/>
              </w:rPr>
              <w:t>$155.2M</w:t>
            </w:r>
          </w:p>
        </w:tc>
        <w:tc>
          <w:tcPr>
            <w:tcW w:type="dxa" w:w="1728"/>
          </w:tcPr>
          <w:p>
            <w:r>
              <w:rPr>
                <w:rFonts w:ascii="Calibri" w:hAnsi="Calibri"/>
                <w:b/>
                <w:color w:val="30A46C"/>
                <w:sz w:val="22"/>
              </w:rPr>
              <w:t>+6.1%</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$143.7M</w:t>
            </w:r>
          </w:p>
        </w:tc>
        <w:tc>
          <w:tcPr>
            <w:tcW w:type="dxa" w:w="1728"/>
          </w:tcPr>
          <w:p>
            <w:r>
              <w:rPr>
                <w:rFonts w:ascii="Calibri" w:hAnsi="Calibri"/>
                <w:sz w:val="22"/>
              </w:rPr>
              <w:t>$132.8M</w:t>
            </w:r>
          </w:p>
        </w:tc>
        <w:tc>
          <w:tcPr>
            <w:tcW w:type="dxa" w:w="1728"/>
          </w:tcPr>
          <w:p>
            <w:r>
              <w:rPr>
                <w:rFonts w:ascii="Calibri" w:hAnsi="Calibri"/>
                <w:b/>
                <w:color w:val="30A46C"/>
                <w:sz w:val="22"/>
              </w:rPr>
              <w:t>+8.2%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$134.4M</w:t>
            </w:r>
          </w:p>
        </w:tc>
        <w:tc>
          <w:tcPr>
            <w:tcW w:type="dxa" w:w="1728"/>
          </w:tcPr>
          <w:p>
            <w:r>
              <w:rPr>
                <w:rFonts w:ascii="Calibri" w:hAnsi="Calibri"/>
                <w:sz w:val="22"/>
              </w:rPr>
              <w:t>$136.8M</w:t>
            </w:r>
          </w:p>
        </w:tc>
        <w:tc>
          <w:tcPr>
            <w:tcW w:type="dxa" w:w="1728"/>
          </w:tcPr>
          <w:p>
            <w:r>
              <w:rPr>
                <w:rFonts w:ascii="Calibri" w:hAnsi="Calibri"/>
                <w:b/>
                <w:color w:val="E5484D"/>
                <w:sz w:val="22"/>
              </w:rPr>
              <w:t>-1.8%</w:t>
            </w:r>
          </w:p>
        </w:tc>
        <w:tc>
          <w:tcPr>
            <w:tcW w:type="dxa" w:w="1728"/>
          </w:tcPr>
          <w:p>
            <w:r>
              <w:rPr>
                <w:rFonts w:ascii="Calibri" w:hAnsi="Calibri"/>
                <w:sz w:val="22"/>
              </w:rPr>
              <w:t>MISS (slight)</w:t>
            </w:r>
          </w:p>
        </w:tc>
      </w:tr>
      <w:tr>
        <w:tc>
          <w:tcPr>
            <w:tcW w:type="dxa" w:w="1728"/>
          </w:tcPr>
          <w:p>
            <w:r>
              <w:rPr>
                <w:rFonts w:ascii="Calibri" w:hAnsi="Calibri"/>
                <w:sz w:val="22"/>
              </w:rPr>
              <w:t>Q3 2024</w:t>
            </w:r>
          </w:p>
        </w:tc>
        <w:tc>
          <w:tcPr>
            <w:tcW w:type="dxa" w:w="1728"/>
          </w:tcPr>
          <w:p>
            <w:r>
              <w:rPr>
                <w:rFonts w:ascii="Calibri" w:hAnsi="Calibri"/>
                <w:sz w:val="22"/>
              </w:rPr>
              <w:t>$150.6M</w:t>
            </w:r>
          </w:p>
        </w:tc>
        <w:tc>
          <w:tcPr>
            <w:tcW w:type="dxa" w:w="1728"/>
          </w:tcPr>
          <w:p>
            <w:r>
              <w:rPr>
                <w:rFonts w:ascii="Calibri" w:hAnsi="Calibri"/>
                <w:sz w:val="22"/>
              </w:rPr>
              <w:t>$147.7M</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Source: </w:t>
      </w:r>
      <w:r>
        <w:rPr>
          <w:rFonts w:ascii="Calibri" w:hAnsi="Calibri"/>
          <w:color w:val="525866"/>
          <w:sz w:val="22"/>
        </w:rPr>
        <w:t>CHRW Q1 2026 Earnings Call Transcript (April 29, 2026); CHRW 8-K filed July 24, 2026 (Dallas verdict disclosure). Visible Alpha Consensus and Actuals Data for current consensus figures.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estimates have drifted </w:t>
      </w:r>
      <w:r>
        <w:rPr>
          <w:rFonts w:ascii="Calibri" w:hAnsi="Calibri"/>
          <w:b/>
          <w:color w:val="E5484D"/>
          <w:sz w:val="22"/>
        </w:rPr>
        <w:t>modestly lower</w:t>
      </w:r>
      <w:r>
        <w:rPr>
          <w:rFonts w:ascii="Calibri" w:hAnsi="Calibri"/>
          <w:color w:val="525866"/>
          <w:sz w:val="22"/>
        </w:rPr>
        <w:t xml:space="preserve"> since the Q1 print (from ~$1.53 to ~$1.50 for EPS), while FY2026 estimates are essentially flat. The gap between current consensus and management's $6 EPS target has narrowed to near-zero, suggesting the Street has largely converged on management's view — leaving upside from a stronger-than-expected freight rate environment as the primary beat driver.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$1.53</w:t>
            </w:r>
          </w:p>
        </w:tc>
        <w:tc>
          <w:tcPr>
            <w:tcW w:type="dxa" w:w="1080"/>
          </w:tcPr>
          <w:p>
            <w:r>
              <w:rPr>
                <w:rFonts w:ascii="Calibri" w:hAnsi="Calibri"/>
                <w:sz w:val="22"/>
              </w:rPr>
              <w:t>$1.50</w:t>
            </w:r>
          </w:p>
        </w:tc>
        <w:tc>
          <w:tcPr>
            <w:tcW w:type="dxa" w:w="1080"/>
          </w:tcPr>
          <w:p>
            <w:r>
              <w:rPr>
                <w:rFonts w:ascii="Calibri" w:hAnsi="Calibri"/>
                <w:b/>
                <w:color w:val="E5484D"/>
                <w:sz w:val="22"/>
              </w:rPr>
              <w:t>-1.9%</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$6.18</w:t>
            </w:r>
          </w:p>
        </w:tc>
        <w:tc>
          <w:tcPr>
            <w:tcW w:type="dxa" w:w="1080"/>
          </w:tcPr>
          <w:p>
            <w:r>
              <w:rPr>
                <w:rFonts w:ascii="Calibri" w:hAnsi="Calibri"/>
                <w:sz w:val="22"/>
              </w:rPr>
              <w:t>$6.15</w:t>
            </w:r>
          </w:p>
        </w:tc>
        <w:tc>
          <w:tcPr>
            <w:tcW w:type="dxa" w:w="1080"/>
          </w:tcPr>
          <w:p>
            <w:r>
              <w:rPr>
                <w:rFonts w:ascii="Calibri" w:hAnsi="Calibri"/>
                <w:b/>
                <w:color w:val="E5484D"/>
                <w:sz w:val="22"/>
              </w:rPr>
              <w:t>-0.5%</w:t>
            </w:r>
          </w:p>
        </w:tc>
        <w:tc>
          <w:tcPr>
            <w:tcW w:type="dxa" w:w="1080"/>
          </w:tcPr>
          <w:p>
            <w:r>
              <w:rPr>
                <w:rFonts w:ascii="Calibri" w:hAnsi="Calibri"/>
                <w:sz w:val="22"/>
              </w:rPr>
              <w:t>$6.00 (no market growth assumed)</w:t>
            </w:r>
          </w:p>
        </w:tc>
        <w:tc>
          <w:tcPr>
            <w:tcW w:type="dxa" w:w="1080"/>
          </w:tcPr>
          <w:p>
            <w:r>
              <w:rPr>
                <w:rFonts w:ascii="Calibri" w:hAnsi="Calibri"/>
                <w:sz w:val="22"/>
              </w:rPr>
              <w:t>$6.00 (unchanged)</w:t>
            </w:r>
          </w:p>
        </w:tc>
        <w:tc>
          <w:tcPr>
            <w:tcW w:type="dxa" w:w="1080"/>
          </w:tcPr>
          <w:p>
            <w:r>
              <w:rPr>
                <w:rFonts w:ascii="Calibri" w:hAnsi="Calibri"/>
                <w:sz w:val="22"/>
              </w:rPr>
              <w:t>Unchanged</w:t>
            </w:r>
          </w:p>
        </w:tc>
        <w:tc>
          <w:tcPr>
            <w:tcW w:type="dxa" w:w="1080"/>
          </w:tcPr>
          <w:p>
            <w:r>
              <w:rPr>
                <w:rFonts w:ascii="Calibri" w:hAnsi="Calibri"/>
                <w:sz w:val="22"/>
              </w:rPr>
              <w:t>+2.5% above guidance midpoint</w:t>
            </w:r>
          </w:p>
        </w:tc>
      </w:tr>
      <w:tr>
        <w:tc>
          <w:tcPr>
            <w:tcW w:type="dxa" w:w="1080"/>
          </w:tcPr>
          <w:p>
            <w:r>
              <w:rPr>
                <w:rFonts w:ascii="Calibri" w:hAnsi="Calibri"/>
                <w:sz w:val="22"/>
              </w:rPr>
              <w:t>Gross Revenue — Q2 2026</w:t>
            </w:r>
          </w:p>
        </w:tc>
        <w:tc>
          <w:tcPr>
            <w:tcW w:type="dxa" w:w="1080"/>
          </w:tcPr>
          <w:p>
            <w:r>
              <w:rPr>
                <w:rFonts w:ascii="Calibri" w:hAnsi="Calibri"/>
                <w:sz w:val="22"/>
              </w:rPr>
              <w:t>$4.283B</w:t>
            </w:r>
          </w:p>
        </w:tc>
        <w:tc>
          <w:tcPr>
            <w:tcW w:type="dxa" w:w="1080"/>
          </w:tcPr>
          <w:p>
            <w:r>
              <w:rPr>
                <w:rFonts w:ascii="Calibri" w:hAnsi="Calibri"/>
                <w:sz w:val="22"/>
              </w:rPr>
              <w:t>$4.379B</w:t>
            </w:r>
          </w:p>
        </w:tc>
        <w:tc>
          <w:tcPr>
            <w:tcW w:type="dxa" w:w="1080"/>
          </w:tcPr>
          <w:p>
            <w:r>
              <w:rPr>
                <w:rFonts w:ascii="Calibri" w:hAnsi="Calibri"/>
                <w:b/>
                <w:color w:val="30A46C"/>
                <w:sz w:val="22"/>
              </w:rPr>
              <w:t>+2.2%</w:t>
            </w:r>
          </w:p>
        </w:tc>
        <w:tc>
          <w:tcPr>
            <w:tcW w:type="dxa" w:w="1080"/>
          </w:tcPr>
          <w:p>
            <w:r>
              <w:rPr>
                <w:rFonts w:ascii="Calibri" w:hAnsi="Calibri"/>
                <w:sz w:val="22"/>
              </w:rPr>
              <w:t>No explicit quarterly guidance</w:t>
            </w:r>
          </w:p>
        </w:tc>
        <w:tc>
          <w:tcPr>
            <w:tcW w:type="dxa" w:w="1080"/>
          </w:tcPr>
          <w:p>
            <w:r>
              <w:rPr>
                <w:rFonts w:ascii="Calibri" w:hAnsi="Calibri"/>
                <w:sz w:val="22"/>
              </w:rPr>
              <w:t>No explicit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Gross Revenue — FY2026</w:t>
            </w:r>
          </w:p>
        </w:tc>
        <w:tc>
          <w:tcPr>
            <w:tcW w:type="dxa" w:w="1080"/>
          </w:tcPr>
          <w:p>
            <w:r>
              <w:rPr>
                <w:rFonts w:ascii="Calibri" w:hAnsi="Calibri"/>
                <w:sz w:val="22"/>
              </w:rPr>
              <w:t>$16.906B</w:t>
            </w:r>
          </w:p>
        </w:tc>
        <w:tc>
          <w:tcPr>
            <w:tcW w:type="dxa" w:w="1080"/>
          </w:tcPr>
          <w:p>
            <w:r>
              <w:rPr>
                <w:rFonts w:ascii="Calibri" w:hAnsi="Calibri"/>
                <w:sz w:val="22"/>
              </w:rPr>
              <w:t>$17.112B</w:t>
            </w:r>
          </w:p>
        </w:tc>
        <w:tc>
          <w:tcPr>
            <w:tcW w:type="dxa" w:w="1080"/>
          </w:tcPr>
          <w:p>
            <w:r>
              <w:rPr>
                <w:rFonts w:ascii="Calibri" w:hAnsi="Calibri"/>
                <w:b/>
                <w:color w:val="30A46C"/>
                <w:sz w:val="22"/>
              </w:rPr>
              <w:t>+1.2%</w:t>
            </w:r>
          </w:p>
        </w:tc>
        <w:tc>
          <w:tcPr>
            <w:tcW w:type="dxa" w:w="1080"/>
          </w:tcPr>
          <w:p>
            <w:r>
              <w:rPr>
                <w:rFonts w:ascii="Calibri" w:hAnsi="Calibri"/>
                <w:sz w:val="22"/>
              </w:rPr>
              <w:t>No explicit revenue guidance</w:t>
            </w:r>
          </w:p>
        </w:tc>
        <w:tc>
          <w:tcPr>
            <w:tcW w:type="dxa" w:w="1080"/>
          </w:tcPr>
          <w:p>
            <w:r>
              <w:rPr>
                <w:rFonts w:ascii="Calibri" w:hAnsi="Calibri"/>
                <w:sz w:val="22"/>
              </w:rPr>
              <w:t>No explicit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NAST Operating Income — Q2 2026</w:t>
            </w:r>
          </w:p>
        </w:tc>
        <w:tc>
          <w:tcPr>
            <w:tcW w:type="dxa" w:w="1080"/>
          </w:tcPr>
          <w:p>
            <w:r>
              <w:rPr>
                <w:rFonts w:ascii="Calibri" w:hAnsi="Calibri"/>
                <w:sz w:val="22"/>
              </w:rPr>
              <w:t>$193.7M</w:t>
            </w:r>
          </w:p>
        </w:tc>
        <w:tc>
          <w:tcPr>
            <w:tcW w:type="dxa" w:w="1080"/>
          </w:tcPr>
          <w:p>
            <w:r>
              <w:rPr>
                <w:rFonts w:ascii="Calibri" w:hAnsi="Calibri"/>
                <w:sz w:val="22"/>
              </w:rPr>
              <w:t>$187.4M</w:t>
            </w:r>
          </w:p>
        </w:tc>
        <w:tc>
          <w:tcPr>
            <w:tcW w:type="dxa" w:w="1080"/>
          </w:tcPr>
          <w:p>
            <w:r>
              <w:rPr>
                <w:rFonts w:ascii="Calibri" w:hAnsi="Calibri"/>
                <w:b/>
                <w:color w:val="E5484D"/>
                <w:sz w:val="22"/>
              </w:rPr>
              <w:t>-3.2%</w:t>
            </w:r>
          </w:p>
        </w:tc>
        <w:tc>
          <w:tcPr>
            <w:tcW w:type="dxa" w:w="1080"/>
          </w:tcPr>
          <w:p>
            <w:r>
              <w:rPr>
                <w:rFonts w:ascii="Calibri" w:hAnsi="Calibri"/>
                <w:sz w:val="22"/>
              </w:rPr>
              <w:t>FY2026 OI target: $965M–$1.04B</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NAST Operating Income — FY2026</w:t>
            </w:r>
          </w:p>
        </w:tc>
        <w:tc>
          <w:tcPr>
            <w:tcW w:type="dxa" w:w="1080"/>
          </w:tcPr>
          <w:p>
            <w:r>
              <w:rPr>
                <w:rFonts w:ascii="Calibri" w:hAnsi="Calibri"/>
                <w:sz w:val="22"/>
              </w:rPr>
              <w:t>$763.6M</w:t>
            </w:r>
          </w:p>
        </w:tc>
        <w:tc>
          <w:tcPr>
            <w:tcW w:type="dxa" w:w="1080"/>
          </w:tcPr>
          <w:p>
            <w:r>
              <w:rPr>
                <w:rFonts w:ascii="Calibri" w:hAnsi="Calibri"/>
                <w:sz w:val="22"/>
              </w:rPr>
              <w:t>$756.5M</w:t>
            </w:r>
          </w:p>
        </w:tc>
        <w:tc>
          <w:tcPr>
            <w:tcW w:type="dxa" w:w="1080"/>
          </w:tcPr>
          <w:p>
            <w:r>
              <w:rPr>
                <w:rFonts w:ascii="Calibri" w:hAnsi="Calibri"/>
                <w:b/>
                <w:color w:val="E5484D"/>
                <w:sz w:val="22"/>
              </w:rPr>
              <w:t>-0.9%</w:t>
            </w:r>
          </w:p>
        </w:tc>
        <w:tc>
          <w:tcPr>
            <w:tcW w:type="dxa" w:w="1080"/>
          </w:tcPr>
          <w:p>
            <w:r>
              <w:rPr>
                <w:rFonts w:ascii="Calibri" w:hAnsi="Calibri"/>
                <w:sz w:val="22"/>
              </w:rPr>
              <w:t>FY2026 OI target: $965M–$1.04B (total company)</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Global Forwarding AGP — Q2 2026</w:t>
            </w:r>
          </w:p>
        </w:tc>
        <w:tc>
          <w:tcPr>
            <w:tcW w:type="dxa" w:w="1080"/>
          </w:tcPr>
          <w:p>
            <w:r>
              <w:rPr>
                <w:rFonts w:ascii="Calibri" w:hAnsi="Calibri"/>
                <w:sz w:val="22"/>
              </w:rPr>
              <w:t>$177.3M</w:t>
            </w:r>
          </w:p>
        </w:tc>
        <w:tc>
          <w:tcPr>
            <w:tcW w:type="dxa" w:w="1080"/>
          </w:tcPr>
          <w:p>
            <w:r>
              <w:rPr>
                <w:rFonts w:ascii="Calibri" w:hAnsi="Calibri"/>
                <w:sz w:val="22"/>
              </w:rPr>
              <w:t>$181.2M</w:t>
            </w:r>
          </w:p>
        </w:tc>
        <w:tc>
          <w:tcPr>
            <w:tcW w:type="dxa" w:w="1080"/>
          </w:tcPr>
          <w:p>
            <w:r>
              <w:rPr>
                <w:rFonts w:ascii="Calibri" w:hAnsi="Calibri"/>
                <w:b/>
                <w:color w:val="30A46C"/>
                <w:sz w:val="22"/>
              </w:rPr>
              <w:t>+2.2%</w:t>
            </w:r>
          </w:p>
        </w:tc>
        <w:tc>
          <w:tcPr>
            <w:tcW w:type="dxa" w:w="1080"/>
          </w:tcPr>
          <w:p>
            <w:r>
              <w:rPr>
                <w:rFonts w:ascii="Calibri" w:hAnsi="Calibri"/>
                <w:sz w:val="22"/>
              </w:rPr>
              <w:t>No explicit quarterly guidance</w:t>
            </w:r>
          </w:p>
        </w:tc>
        <w:tc>
          <w:tcPr>
            <w:tcW w:type="dxa" w:w="1080"/>
          </w:tcPr>
          <w:p>
            <w:r>
              <w:rPr>
                <w:rFonts w:ascii="Calibri" w:hAnsi="Calibri"/>
                <w:sz w:val="22"/>
              </w:rPr>
              <w:t>No explicit quarterly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Source: </w:t>
      </w:r>
      <w:r>
        <w:rPr>
          <w:rFonts w:ascii="Calibri" w:hAnsi="Calibri"/>
          <w:color w:val="525866"/>
          <w:sz w:val="22"/>
        </w:rPr>
        <w:t>Visible Alpha Consensus and Actuals Data. Post-Q1 baseline uses consensus as of May 6, 2026 (approximately 5 trading days after the April 29 earnings release). Current consensus as of July 28, 2026. NAST Operating Income Q2 2026 post-Q1 baseline was $193.7M; current consensus has drifted to $187.4M, a -3.2% revision, likely reflecting the Street's caution around spot cost absorption. Revenue estimates have moved modestly higher, consistent with the stronger-than-expected rate environment visible in peer prints.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CHRW's post-Q1 stock performance was driven by </w:t>
      </w:r>
      <w:r>
        <w:rPr>
          <w:rFonts w:ascii="Calibri" w:hAnsi="Calibri"/>
          <w:b/>
          <w:color w:val="525866"/>
          <w:sz w:val="22"/>
        </w:rPr>
        <w:t>multiple expansion and positive estimate revisions</w:t>
      </w:r>
      <w:r>
        <w:rPr>
          <w:rFonts w:ascii="Calibri" w:hAnsi="Calibri"/>
          <w:color w:val="525866"/>
          <w:sz w:val="22"/>
        </w:rPr>
        <w:t xml:space="preserve"> through mid-July, before the $604M jury verdict disclosure on July 24 triggered a sharp ~11% selloff in two sessions. The stock has significantly underperformed XLI and the S&amp;P 500 since July 24, erasing most of the post-Q1 gains.</w:t>
      </w:r>
    </w:p>
    <w:p>
      <w:pPr>
        <w:pStyle w:val="Heading3"/>
      </w:pPr>
      <w:r>
        <w:rPr>
          <w:rFonts w:ascii="Calibri" w:hAnsi="Calibri"/>
          <w:b/>
          <w:color w:val="3B4259"/>
          <w:sz w:val="24"/>
        </w:rPr>
        <w:t>Stock Price Performance — CHRW vs. XLI vs. S&amp;P 500 (Since Q1 2026 Earnings, April 29,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 / Event</w:t>
            </w:r>
          </w:p>
        </w:tc>
        <w:tc>
          <w:tcPr>
            <w:tcW w:type="dxa" w:w="1728"/>
            <w:shd w:val="clear" w:color="auto" w:fill="3B4259"/>
          </w:tcPr>
          <w:p>
            <w:r>
              <w:rPr>
                <w:rFonts w:ascii="Calibri" w:hAnsi="Calibri"/>
                <w:b/>
                <w:color w:val="FFFFFF"/>
                <w:sz w:val="22"/>
              </w:rPr>
              <w:t>CHRW Price</w:t>
            </w:r>
          </w:p>
        </w:tc>
        <w:tc>
          <w:tcPr>
            <w:tcW w:type="dxa" w:w="1728"/>
            <w:shd w:val="clear" w:color="auto" w:fill="3B4259"/>
          </w:tcPr>
          <w:p>
            <w:r>
              <w:rPr>
                <w:rFonts w:ascii="Calibri" w:hAnsi="Calibri"/>
                <w:b/>
                <w:color w:val="FFFFFF"/>
                <w:sz w:val="22"/>
              </w:rPr>
              <w:t>CHRW Indexed (Base=100)</w:t>
            </w:r>
          </w:p>
        </w:tc>
        <w:tc>
          <w:tcPr>
            <w:tcW w:type="dxa" w:w="1728"/>
            <w:shd w:val="clear" w:color="auto" w:fill="3B4259"/>
          </w:tcPr>
          <w:p>
            <w:r>
              <w:rPr>
                <w:rFonts w:ascii="Calibri" w:hAnsi="Calibri"/>
                <w:b/>
                <w:color w:val="FFFFFF"/>
                <w:sz w:val="22"/>
              </w:rPr>
              <w:t>XLI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Apr 29 (Q1 Earnings Day)</w:t>
            </w:r>
          </w:p>
        </w:tc>
        <w:tc>
          <w:tcPr>
            <w:tcW w:type="dxa" w:w="1728"/>
          </w:tcPr>
          <w:p>
            <w:r>
              <w:rPr>
                <w:rFonts w:ascii="Calibri" w:hAnsi="Calibri"/>
                <w:sz w:val="22"/>
              </w:rPr>
              <w:t>$186.43</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4 (Trough — tariff/macro selloff)</w:t>
            </w:r>
          </w:p>
        </w:tc>
        <w:tc>
          <w:tcPr>
            <w:tcW w:type="dxa" w:w="1728"/>
          </w:tcPr>
          <w:p>
            <w:r>
              <w:rPr>
                <w:rFonts w:ascii="Calibri" w:hAnsi="Calibri"/>
                <w:sz w:val="22"/>
              </w:rPr>
              <w:t>$161.24</w:t>
            </w:r>
          </w:p>
        </w:tc>
        <w:tc>
          <w:tcPr>
            <w:tcW w:type="dxa" w:w="1728"/>
          </w:tcPr>
          <w:p>
            <w:r>
              <w:rPr>
                <w:rFonts w:ascii="Calibri" w:hAnsi="Calibri"/>
                <w:sz w:val="22"/>
              </w:rPr>
              <w:t>86.5</w:t>
            </w:r>
          </w:p>
        </w:tc>
        <w:tc>
          <w:tcPr>
            <w:tcW w:type="dxa" w:w="1728"/>
          </w:tcPr>
          <w:p>
            <w:r>
              <w:rPr>
                <w:rFonts w:ascii="Calibri" w:hAnsi="Calibri"/>
                <w:sz w:val="22"/>
              </w:rPr>
              <w:t>100.6</w:t>
            </w:r>
          </w:p>
        </w:tc>
        <w:tc>
          <w:tcPr>
            <w:tcW w:type="dxa" w:w="1728"/>
          </w:tcPr>
          <w:p>
            <w:r>
              <w:rPr>
                <w:rFonts w:ascii="Calibri" w:hAnsi="Calibri"/>
                <w:sz w:val="22"/>
              </w:rPr>
              <w:t>100.9</w:t>
            </w:r>
          </w:p>
        </w:tc>
      </w:tr>
      <w:tr>
        <w:tc>
          <w:tcPr>
            <w:tcW w:type="dxa" w:w="1728"/>
          </w:tcPr>
          <w:p>
            <w:r>
              <w:rPr>
                <w:rFonts w:ascii="Calibri" w:hAnsi="Calibri"/>
                <w:sz w:val="22"/>
              </w:rPr>
              <w:t>May 14 (Montgomery Supreme Court ruling)</w:t>
            </w:r>
          </w:p>
        </w:tc>
        <w:tc>
          <w:tcPr>
            <w:tcW w:type="dxa" w:w="1728"/>
          </w:tcPr>
          <w:p>
            <w:r>
              <w:rPr>
                <w:rFonts w:ascii="Calibri" w:hAnsi="Calibri"/>
                <w:sz w:val="22"/>
              </w:rPr>
              <w:t>$159.78</w:t>
            </w:r>
          </w:p>
        </w:tc>
        <w:tc>
          <w:tcPr>
            <w:tcW w:type="dxa" w:w="1728"/>
          </w:tcPr>
          <w:p>
            <w:r>
              <w:rPr>
                <w:rFonts w:ascii="Calibri" w:hAnsi="Calibri"/>
                <w:sz w:val="22"/>
              </w:rPr>
              <w:t>85.7</w:t>
            </w:r>
          </w:p>
        </w:tc>
        <w:tc>
          <w:tcPr>
            <w:tcW w:type="dxa" w:w="1728"/>
          </w:tcPr>
          <w:p>
            <w:r>
              <w:rPr>
                <w:rFonts w:ascii="Calibri" w:hAnsi="Calibri"/>
                <w:sz w:val="22"/>
              </w:rPr>
              <w:t>102.7</w:t>
            </w:r>
          </w:p>
        </w:tc>
        <w:tc>
          <w:tcPr>
            <w:tcW w:type="dxa" w:w="1728"/>
          </w:tcPr>
          <w:p>
            <w:r>
              <w:rPr>
                <w:rFonts w:ascii="Calibri" w:hAnsi="Calibri"/>
                <w:sz w:val="22"/>
              </w:rPr>
              <w:t>105.1</w:t>
            </w:r>
          </w:p>
        </w:tc>
      </w:tr>
      <w:tr>
        <w:tc>
          <w:tcPr>
            <w:tcW w:type="dxa" w:w="1728"/>
          </w:tcPr>
          <w:p>
            <w:r>
              <w:rPr>
                <w:rFonts w:ascii="Calibri" w:hAnsi="Calibri"/>
                <w:sz w:val="22"/>
              </w:rPr>
              <w:t>Jun 9 (Wells Fargo Conference)</w:t>
            </w:r>
          </w:p>
        </w:tc>
        <w:tc>
          <w:tcPr>
            <w:tcW w:type="dxa" w:w="1728"/>
          </w:tcPr>
          <w:p>
            <w:r>
              <w:rPr>
                <w:rFonts w:ascii="Calibri" w:hAnsi="Calibri"/>
                <w:sz w:val="22"/>
              </w:rPr>
              <w:t>$191.65</w:t>
            </w:r>
          </w:p>
        </w:tc>
        <w:tc>
          <w:tcPr>
            <w:tcW w:type="dxa" w:w="1728"/>
          </w:tcPr>
          <w:p>
            <w:r>
              <w:rPr>
                <w:rFonts w:ascii="Calibri" w:hAnsi="Calibri"/>
                <w:sz w:val="22"/>
              </w:rPr>
              <w:t>102.8</w:t>
            </w:r>
          </w:p>
        </w:tc>
        <w:tc>
          <w:tcPr>
            <w:tcW w:type="dxa" w:w="1728"/>
          </w:tcPr>
          <w:p>
            <w:r>
              <w:rPr>
                <w:rFonts w:ascii="Calibri" w:hAnsi="Calibri"/>
                <w:sz w:val="22"/>
              </w:rPr>
              <w:t>103.3</w:t>
            </w:r>
          </w:p>
        </w:tc>
        <w:tc>
          <w:tcPr>
            <w:tcW w:type="dxa" w:w="1728"/>
          </w:tcPr>
          <w:p>
            <w:r>
              <w:rPr>
                <w:rFonts w:ascii="Calibri" w:hAnsi="Calibri"/>
                <w:sz w:val="22"/>
              </w:rPr>
              <w:t>103.6</w:t>
            </w:r>
          </w:p>
        </w:tc>
      </w:tr>
      <w:tr>
        <w:tc>
          <w:tcPr>
            <w:tcW w:type="dxa" w:w="1728"/>
          </w:tcPr>
          <w:p>
            <w:r>
              <w:rPr>
                <w:rFonts w:ascii="Calibri" w:hAnsi="Calibri"/>
                <w:sz w:val="22"/>
              </w:rPr>
              <w:t>Jun 30 (Quarter-end)</w:t>
            </w:r>
          </w:p>
        </w:tc>
        <w:tc>
          <w:tcPr>
            <w:tcW w:type="dxa" w:w="1728"/>
          </w:tcPr>
          <w:p>
            <w:r>
              <w:rPr>
                <w:rFonts w:ascii="Calibri" w:hAnsi="Calibri"/>
                <w:sz w:val="22"/>
              </w:rPr>
              <w:t>$188.34</w:t>
            </w:r>
          </w:p>
        </w:tc>
        <w:tc>
          <w:tcPr>
            <w:tcW w:type="dxa" w:w="1728"/>
          </w:tcPr>
          <w:p>
            <w:r>
              <w:rPr>
                <w:rFonts w:ascii="Calibri" w:hAnsi="Calibri"/>
                <w:sz w:val="22"/>
              </w:rPr>
              <w:t>101.0</w:t>
            </w:r>
          </w:p>
        </w:tc>
        <w:tc>
          <w:tcPr>
            <w:tcW w:type="dxa" w:w="1728"/>
          </w:tcPr>
          <w:p>
            <w:r>
              <w:rPr>
                <w:rFonts w:ascii="Calibri" w:hAnsi="Calibri"/>
                <w:sz w:val="22"/>
              </w:rPr>
              <w:t>109.0</w:t>
            </w:r>
          </w:p>
        </w:tc>
        <w:tc>
          <w:tcPr>
            <w:tcW w:type="dxa" w:w="1728"/>
          </w:tcPr>
          <w:p>
            <w:r>
              <w:rPr>
                <w:rFonts w:ascii="Calibri" w:hAnsi="Calibri"/>
                <w:sz w:val="22"/>
              </w:rPr>
              <w:t>104.9</w:t>
            </w:r>
          </w:p>
        </w:tc>
      </w:tr>
      <w:tr>
        <w:tc>
          <w:tcPr>
            <w:tcW w:type="dxa" w:w="1728"/>
          </w:tcPr>
          <w:p>
            <w:r>
              <w:rPr>
                <w:rFonts w:ascii="Calibri" w:hAnsi="Calibri"/>
                <w:sz w:val="22"/>
              </w:rPr>
              <w:t>Jul 21 (Peak — pre-verdict)</w:t>
            </w:r>
          </w:p>
        </w:tc>
        <w:tc>
          <w:tcPr>
            <w:tcW w:type="dxa" w:w="1728"/>
          </w:tcPr>
          <w:p>
            <w:r>
              <w:rPr>
                <w:rFonts w:ascii="Calibri" w:hAnsi="Calibri"/>
                <w:sz w:val="22"/>
              </w:rPr>
              <w:t>$209.42</w:t>
            </w:r>
          </w:p>
        </w:tc>
        <w:tc>
          <w:tcPr>
            <w:tcW w:type="dxa" w:w="1728"/>
          </w:tcPr>
          <w:p>
            <w:r>
              <w:rPr>
                <w:rFonts w:ascii="Calibri" w:hAnsi="Calibri"/>
                <w:sz w:val="22"/>
              </w:rPr>
              <w:t>112.3</w:t>
            </w:r>
          </w:p>
        </w:tc>
        <w:tc>
          <w:tcPr>
            <w:tcW w:type="dxa" w:w="1728"/>
          </w:tcPr>
          <w:p>
            <w:r>
              <w:rPr>
                <w:rFonts w:ascii="Calibri" w:hAnsi="Calibri"/>
                <w:sz w:val="22"/>
              </w:rPr>
              <w:t>105.1</w:t>
            </w:r>
          </w:p>
        </w:tc>
        <w:tc>
          <w:tcPr>
            <w:tcW w:type="dxa" w:w="1728"/>
          </w:tcPr>
          <w:p>
            <w:r>
              <w:rPr>
                <w:rFonts w:ascii="Calibri" w:hAnsi="Calibri"/>
                <w:sz w:val="22"/>
              </w:rPr>
              <w:t>105.2</w:t>
            </w:r>
          </w:p>
        </w:tc>
      </w:tr>
      <w:tr>
        <w:tc>
          <w:tcPr>
            <w:tcW w:type="dxa" w:w="1728"/>
          </w:tcPr>
          <w:p>
            <w:r>
              <w:rPr>
                <w:rFonts w:ascii="Calibri" w:hAnsi="Calibri"/>
                <w:sz w:val="22"/>
              </w:rPr>
              <w:t>Jul 24 ($604M Verdict Disclosed)</w:t>
            </w:r>
          </w:p>
        </w:tc>
        <w:tc>
          <w:tcPr>
            <w:tcW w:type="dxa" w:w="1728"/>
          </w:tcPr>
          <w:p>
            <w:r>
              <w:rPr>
                <w:rFonts w:ascii="Calibri" w:hAnsi="Calibri"/>
                <w:sz w:val="22"/>
              </w:rPr>
              <w:t>$186.51</w:t>
            </w:r>
          </w:p>
        </w:tc>
        <w:tc>
          <w:tcPr>
            <w:tcW w:type="dxa" w:w="1728"/>
          </w:tcPr>
          <w:p>
            <w:r>
              <w:rPr>
                <w:rFonts w:ascii="Calibri" w:hAnsi="Calibri"/>
                <w:sz w:val="22"/>
              </w:rPr>
              <w:t>100.0</w:t>
            </w:r>
          </w:p>
        </w:tc>
        <w:tc>
          <w:tcPr>
            <w:tcW w:type="dxa" w:w="1728"/>
          </w:tcPr>
          <w:p>
            <w:r>
              <w:rPr>
                <w:rFonts w:ascii="Calibri" w:hAnsi="Calibri"/>
                <w:sz w:val="22"/>
              </w:rPr>
              <w:t>107.5</w:t>
            </w:r>
          </w:p>
        </w:tc>
        <w:tc>
          <w:tcPr>
            <w:tcW w:type="dxa" w:w="1728"/>
          </w:tcPr>
          <w:p>
            <w:r>
              <w:rPr>
                <w:rFonts w:ascii="Calibri" w:hAnsi="Calibri"/>
                <w:sz w:val="22"/>
              </w:rPr>
              <w:t>103.8</w:t>
            </w:r>
          </w:p>
        </w:tc>
      </w:tr>
      <w:tr>
        <w:tc>
          <w:tcPr>
            <w:tcW w:type="dxa" w:w="1728"/>
          </w:tcPr>
          <w:p>
            <w:r>
              <w:rPr>
                <w:rFonts w:ascii="Calibri" w:hAnsi="Calibri"/>
                <w:sz w:val="22"/>
              </w:rPr>
              <w:t>Jul 27 (Post-verdict)</w:t>
            </w:r>
          </w:p>
        </w:tc>
        <w:tc>
          <w:tcPr>
            <w:tcW w:type="dxa" w:w="1728"/>
          </w:tcPr>
          <w:p>
            <w:r>
              <w:rPr>
                <w:rFonts w:ascii="Calibri" w:hAnsi="Calibri"/>
                <w:sz w:val="22"/>
              </w:rPr>
              <w:t>$174.46</w:t>
            </w:r>
          </w:p>
        </w:tc>
        <w:tc>
          <w:tcPr>
            <w:tcW w:type="dxa" w:w="1728"/>
          </w:tcPr>
          <w:p>
            <w:r>
              <w:rPr>
                <w:rFonts w:ascii="Calibri" w:hAnsi="Calibri"/>
                <w:sz w:val="22"/>
              </w:rPr>
              <w:t>93.6</w:t>
            </w:r>
          </w:p>
        </w:tc>
        <w:tc>
          <w:tcPr>
            <w:tcW w:type="dxa" w:w="1728"/>
          </w:tcPr>
          <w:p>
            <w:r>
              <w:rPr>
                <w:rFonts w:ascii="Calibri" w:hAnsi="Calibri"/>
                <w:sz w:val="22"/>
              </w:rPr>
              <w:t>107.8</w:t>
            </w:r>
          </w:p>
        </w:tc>
        <w:tc>
          <w:tcPr>
            <w:tcW w:type="dxa" w:w="1728"/>
          </w:tcPr>
          <w:p>
            <w:r>
              <w:rPr>
                <w:rFonts w:ascii="Calibri" w:hAnsi="Calibri"/>
                <w:sz w:val="22"/>
              </w:rPr>
              <w:t>103.9</w:t>
            </w:r>
          </w:p>
        </w:tc>
      </w:tr>
      <w:tr>
        <w:tc>
          <w:tcPr>
            <w:tcW w:type="dxa" w:w="1728"/>
          </w:tcPr>
          <w:p>
            <w:r>
              <w:rPr>
                <w:rFonts w:ascii="Calibri" w:hAnsi="Calibri"/>
                <w:sz w:val="22"/>
              </w:rPr>
              <w:t>Jul 29 (Earnings Day)</w:t>
            </w:r>
          </w:p>
        </w:tc>
        <w:tc>
          <w:tcPr>
            <w:tcW w:type="dxa" w:w="1728"/>
          </w:tcPr>
          <w:p>
            <w:r>
              <w:rPr>
                <w:rFonts w:ascii="Calibri" w:hAnsi="Calibri"/>
                <w:sz w:val="22"/>
              </w:rPr>
              <w:t>$169.34</w:t>
            </w:r>
          </w:p>
        </w:tc>
        <w:tc>
          <w:tcPr>
            <w:tcW w:type="dxa" w:w="1728"/>
          </w:tcPr>
          <w:p>
            <w:r>
              <w:rPr>
                <w:rFonts w:ascii="Calibri" w:hAnsi="Calibri"/>
                <w:sz w:val="22"/>
              </w:rPr>
              <w:t>90.8</w:t>
            </w:r>
          </w:p>
        </w:tc>
        <w:tc>
          <w:tcPr>
            <w:tcW w:type="dxa" w:w="1728"/>
          </w:tcPr>
          <w:p>
            <w:r>
              <w:rPr>
                <w:rFonts w:ascii="Calibri" w:hAnsi="Calibri"/>
                <w:sz w:val="22"/>
              </w:rPr>
              <w:t>107.4</w:t>
            </w:r>
          </w:p>
        </w:tc>
        <w:tc>
          <w:tcPr>
            <w:tcW w:type="dxa" w:w="1728"/>
          </w:tcPr>
          <w:p>
            <w:r>
              <w:rPr>
                <w:rFonts w:ascii="Calibri" w:hAnsi="Calibri"/>
                <w:sz w:val="22"/>
              </w:rPr>
              <w:t>104.1</w:t>
            </w:r>
          </w:p>
        </w:tc>
      </w:tr>
    </w:tbl>
    <w:p>
      <w:r>
        <w:rPr>
          <w:rFonts w:ascii="Calibri" w:hAnsi="Calibri"/>
          <w:b/>
          <w:color w:val="525866"/>
          <w:sz w:val="22"/>
        </w:rPr>
        <w:t xml:space="preserve">Source: </w:t>
      </w:r>
      <w:r>
        <w:rPr>
          <w:rFonts w:ascii="Calibri" w:hAnsi="Calibri"/>
          <w:color w:val="525866"/>
          <w:sz w:val="22"/>
        </w:rPr>
        <w:t>Yahoo Finance / Stock Price Data. XLI (Industrial Select Sector SPDR ETF) used as sector benchmark — appropriate for CHRW's classification as an industrial logistics company. All prices are closing prices.</w:t>
      </w:r>
    </w:p>
    <w:p>
      <w:r>
        <w:rPr>
          <w:rFonts w:ascii="Calibri" w:hAnsi="Calibri"/>
          <w:b/>
          <w:color w:val="525866"/>
          <w:sz w:val="22"/>
        </w:rPr>
        <w:t xml:space="preserve">Performance Commentary: </w:t>
      </w:r>
      <w:r>
        <w:rPr>
          <w:rFonts w:ascii="Calibri" w:hAnsi="Calibri"/>
          <w:color w:val="525866"/>
          <w:sz w:val="22"/>
        </w:rPr>
        <w:t>CHRW's post-Q1 trajectory tells a two-act story. Act 1 (April 29 – July 21): The stock rallied from $186 to $209 (+12%), driven by multiple expansion as the freight cycle recovery became increasingly visible in peer prints (JBHT, KNX, WERN, LSTR all beat and raised in Q2). CHRW significantly outperformed XLI (+5%) and SPY (+5%) during this window. Act 2 (July 24 – July 29): The $604M Dallas jury verdict disclosure triggered a sharp -19% selloff in 4 sessions, with CHRW falling from $209 to $169 while XLI and SPY were essentially flat. As of the earnings date, CHRW is down ~9% from the Q1 earnings close, while XLI is up ~7% and SPY is up ~4% over the same period. The stock's NTM P/E has compressed from ~29x (3 months ago) to ~25x currently, though it still trades at a ~19% premium to the peer group average (ex-outliers), per the valuation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E5484D"/>
          <w:sz w:val="22"/>
        </w:rPr>
        <w:t>$604M Dallas jury verdict</w:t>
      </w:r>
      <w:r>
        <w:rPr>
          <w:rFonts w:ascii="Calibri" w:hAnsi="Calibri"/>
          <w:color w:val="525866"/>
          <w:sz w:val="22"/>
        </w:rPr>
        <w:t xml:space="preserve"> is the most material post-Q1 development and will dominate the Q2 call. The freight cycle acceleration (visible in all peer prints) is the most important fundamental positive.</w:t>
      </w:r>
    </w:p>
    <w:p>
      <w:pPr>
        <w:pStyle w:val="ListBullet"/>
        <w:ind w:left="360" w:hanging="360"/>
      </w:pPr>
      <w:r>
        <w:rPr>
          <w:rFonts w:ascii="Calibri" w:hAnsi="Calibri"/>
          <w:b/>
          <w:color w:val="525866"/>
          <w:sz w:val="22"/>
        </w:rPr>
        <w:t>July 24, 2026 — $604M Advisory Jury Verdict (Dallas County, TX):</w:t>
      </w:r>
      <w:r>
        <w:rPr>
          <w:rFonts w:ascii="Calibri" w:hAnsi="Calibri"/>
          <w:color w:val="525866"/>
          <w:sz w:val="22"/>
        </w:rPr>
        <w:t xml:space="preserve"> A Dallas County jury issued an advisory verdict of $604M in compensatory damages against CHRW and two co-defendants in a lawsuit related to a trucking accident involving an independent motor carrier. CHRW disclosed the verdict via 8-K, stated it disagrees with the ruling, and expects to appeal if the verdict is entered as final. The advisory verdict is not yet final and remains subject to post-trial proceedings. </w:t>
      </w:r>
      <w:r>
        <w:rPr>
          <w:rFonts w:ascii="Calibri" w:hAnsi="Calibri"/>
          <w:b/>
          <w:color w:val="525866"/>
          <w:sz w:val="22"/>
        </w:rPr>
        <w:t xml:space="preserve">Implication: </w:t>
      </w:r>
      <w:r>
        <w:rPr>
          <w:rFonts w:ascii="Calibri" w:hAnsi="Calibri"/>
          <w:color w:val="525866"/>
          <w:sz w:val="22"/>
        </w:rPr>
        <w:t>This is the single largest near-term risk to the stock. The market has already repriced ~$40/share of value. Key questions for the Q2 call: (1) insurance coverage and deductible structure, (2) balance sheet capacity to absorb a worst-case outcome, (3) whether this accelerates or complicates the M&amp;A strategy management declared readiness for on the Q1 call. Note: CHRW's Q1 call commentary on the Montgomery Supreme Court ruling (decided May 14) indicated management had a "playbook for either outcome" and characterized its carrier vetting as industry-leading.</w:t>
      </w:r>
    </w:p>
    <w:p>
      <w:pPr>
        <w:pStyle w:val="ListBullet"/>
        <w:ind w:left="360" w:hanging="360"/>
      </w:pPr>
      <w:r>
        <w:rPr>
          <w:rFonts w:ascii="Calibri" w:hAnsi="Calibri"/>
          <w:b/>
          <w:color w:val="525866"/>
          <w:sz w:val="22"/>
        </w:rPr>
        <w:t>May 14, 2026 — Montgomery v. Caribe Transport II Supreme Court Ruling (9-0 Against CHRW):</w:t>
      </w:r>
      <w:r>
        <w:rPr>
          <w:rFonts w:ascii="Calibri" w:hAnsi="Calibri"/>
          <w:color w:val="525866"/>
          <w:sz w:val="22"/>
        </w:rPr>
        <w:t xml:space="preserve"> The Supreme Court ruled unanimously that state negligent-hiring claims against freight brokers are NOT preempted by the FAAAA, preserving state authority to regulate motor vehicle safety. CHRW had argued before the Court and expected to win. </w:t>
      </w:r>
      <w:r>
        <w:rPr>
          <w:rFonts w:ascii="Calibri" w:hAnsi="Calibri"/>
          <w:b/>
          <w:color w:val="525866"/>
          <w:sz w:val="22"/>
        </w:rPr>
        <w:t xml:space="preserve">Implication: </w:t>
      </w:r>
      <w:r>
        <w:rPr>
          <w:rFonts w:ascii="Calibri" w:hAnsi="Calibri"/>
          <w:color w:val="525866"/>
          <w:sz w:val="22"/>
        </w:rPr>
        <w:t>Management estimated 20-30% of broker capacity could exit the industry as a result, positioning CHRW as the consolidator. Insurance cost impact is locked in for 2026 (less than 0.5% of gross revenue); 2027 impact is uncertain. The Dallas verdict (July 24) is directly related to this legal environment — the ruling has emboldened plaintiffs and reduced brokers' ability to obtain summary judgment dismissals.</w:t>
      </w:r>
    </w:p>
    <w:p>
      <w:pPr>
        <w:pStyle w:val="ListBullet"/>
        <w:ind w:left="360" w:hanging="360"/>
      </w:pPr>
      <w:r>
        <w:rPr>
          <w:rFonts w:ascii="Calibri" w:hAnsi="Calibri"/>
          <w:b/>
          <w:color w:val="525866"/>
          <w:sz w:val="22"/>
        </w:rPr>
        <w:t>May 11, 2026 — Annual Shareholder Meeting:</w:t>
      </w:r>
      <w:r>
        <w:rPr>
          <w:rFonts w:ascii="Calibri" w:hAnsi="Calibri"/>
          <w:color w:val="525866"/>
          <w:sz w:val="22"/>
        </w:rPr>
        <w:t xml:space="preserve"> All proposals approved. No material governance changes. Source: CHRW 8-K filed May 11, 2026.</w:t>
      </w:r>
    </w:p>
    <w:p>
      <w:pPr>
        <w:pStyle w:val="ListBullet"/>
        <w:ind w:left="360" w:hanging="360"/>
      </w:pPr>
      <w:r>
        <w:rPr>
          <w:rFonts w:ascii="Calibri" w:hAnsi="Calibri"/>
          <w:b/>
          <w:color w:val="525866"/>
          <w:sz w:val="22"/>
        </w:rPr>
        <w:t>Q2 2026 Freight Cycle Acceleration (Peer Read-Through):</w:t>
      </w:r>
      <w:r>
        <w:rPr>
          <w:rFonts w:ascii="Calibri" w:hAnsi="Calibri"/>
          <w:color w:val="525866"/>
          <w:sz w:val="22"/>
        </w:rPr>
        <w:t xml:space="preserve"> Multiple peers reporting Q2 2026 results confirmed a sharp tightening in truckload capacity and significant rate acceleration. JBHT (July 15) beat and raised; KNX (July 22) reported spot rates trending well ahead of normal seasonality and tender rejections at 2021 highs; LSTR (July 28) reported the largest sequential increase in truck revenue per load in 15 years (+14.4% Q2 vs. Q1); WERN (July 28) reported upper single to double-digit contractual rate increases and raised full-year dedicated revenue per truck per week guidance. </w:t>
      </w:r>
      <w:r>
        <w:rPr>
          <w:rFonts w:ascii="Calibri" w:hAnsi="Calibri"/>
          <w:b/>
          <w:color w:val="525866"/>
          <w:sz w:val="22"/>
        </w:rPr>
        <w:t xml:space="preserve">Implication: </w:t>
      </w:r>
      <w:r>
        <w:rPr>
          <w:rFonts w:ascii="Calibri" w:hAnsi="Calibri"/>
          <w:color w:val="525866"/>
          <w:sz w:val="22"/>
        </w:rPr>
        <w:t>The freight rate environment in Q2 was materially stronger than what was embedded in CHRW's Q2 consensus estimates, supporting a beat on NAST gross margin and operating income.</w:t>
      </w:r>
    </w:p>
    <w:p>
      <w:pPr>
        <w:pStyle w:val="ListBullet"/>
        <w:ind w:left="360" w:hanging="360"/>
      </w:pPr>
      <w:r>
        <w:rPr>
          <w:rFonts w:ascii="Calibri" w:hAnsi="Calibri"/>
          <w:b/>
          <w:color w:val="525866"/>
          <w:sz w:val="22"/>
        </w:rPr>
        <w:t>July 2026 — New Tariff Regime (Section 301, 10%–12.5% on 60 Trading Partners):</w:t>
      </w:r>
      <w:r>
        <w:rPr>
          <w:rFonts w:ascii="Calibri" w:hAnsi="Calibri"/>
          <w:color w:val="525866"/>
          <w:sz w:val="22"/>
        </w:rPr>
        <w:t xml:space="preserve"> The Trump administration imposed new tariffs on 60 economies effective July 25, replacing the temporary 10% global tariff that expired. </w:t>
      </w:r>
      <w:r>
        <w:rPr>
          <w:rFonts w:ascii="Calibri" w:hAnsi="Calibri"/>
          <w:b/>
          <w:color w:val="525866"/>
          <w:sz w:val="22"/>
        </w:rPr>
        <w:t xml:space="preserve">Implication: </w:t>
      </w:r>
      <w:r>
        <w:rPr>
          <w:rFonts w:ascii="Calibri" w:hAnsi="Calibri"/>
          <w:color w:val="525866"/>
          <w:sz w:val="22"/>
        </w:rPr>
        <w:t>Trade policy uncertainty has historically driven demand for CHRW's customs services and Global Forwarding capabilities. Near-term impact on Q2 is limited (tariffs took effect at quarter-end), but management commentary on customs demand and Global Forwarding pipeline will be closely watched.</w:t>
      </w:r>
    </w:p>
    <w:p>
      <w:pPr>
        <w:pStyle w:val="ListBullet"/>
        <w:ind w:left="360" w:hanging="360"/>
      </w:pPr>
      <w:r>
        <w:rPr>
          <w:rFonts w:ascii="Calibri" w:hAnsi="Calibri"/>
          <w:b/>
          <w:color w:val="525866"/>
          <w:sz w:val="22"/>
        </w:rPr>
        <w:t>July 21, 2026 — FedEx Completes Freight Spin-Off:</w:t>
      </w:r>
      <w:r>
        <w:rPr>
          <w:rFonts w:ascii="Calibri" w:hAnsi="Calibri"/>
          <w:color w:val="525866"/>
          <w:sz w:val="22"/>
        </w:rPr>
        <w:t xml:space="preserve"> FedEx completed the separation of FedEx Freight, shifting its fiscal year end and realigning segments. </w:t>
      </w:r>
      <w:r>
        <w:rPr>
          <w:rFonts w:ascii="Calibri" w:hAnsi="Calibri"/>
          <w:b/>
          <w:color w:val="525866"/>
          <w:sz w:val="22"/>
        </w:rPr>
        <w:t xml:space="preserve">Implication: </w:t>
      </w:r>
      <w:r>
        <w:rPr>
          <w:rFonts w:ascii="Calibri" w:hAnsi="Calibri"/>
          <w:color w:val="525866"/>
          <w:sz w:val="22"/>
        </w:rPr>
        <w:t>Structural change in the competitive landscape for LTL; limited direct impact on CHRW's brokerage model but relevant for the broader logistics sector.</w:t>
      </w:r>
    </w:p>
    <w:p>
      <w:pPr>
        <w:pStyle w:val="ListBullet"/>
        <w:ind w:left="360" w:hanging="360"/>
      </w:pPr>
      <w:r>
        <w:rPr>
          <w:rFonts w:ascii="Calibri" w:hAnsi="Calibri"/>
          <w:b/>
          <w:color w:val="525866"/>
          <w:sz w:val="22"/>
        </w:rPr>
        <w:t>July 7, 2026 — Q2 2026 Earnings Release Scheduled:</w:t>
      </w:r>
      <w:r>
        <w:rPr>
          <w:rFonts w:ascii="Calibri" w:hAnsi="Calibri"/>
          <w:color w:val="525866"/>
          <w:sz w:val="22"/>
        </w:rPr>
        <w:t xml:space="preserve"> CHRW confirmed July 29, 2026 as the Q2 earnings release and conference call date. Source: CHRW press release.</w:t>
      </w:r>
    </w:p>
    <w:p>
      <w:pPr>
        <w:pStyle w:val="ListBullet"/>
        <w:ind w:left="360" w:hanging="360"/>
      </w:pPr>
      <w:r>
        <w:rPr>
          <w:rFonts w:ascii="Calibri" w:hAnsi="Calibri"/>
          <w:b/>
          <w:color w:val="525866"/>
          <w:sz w:val="22"/>
        </w:rPr>
        <w:t>UPS Q2 2026 (July 28) — Beat and Raise, But Stock -6%:</w:t>
      </w:r>
      <w:r>
        <w:rPr>
          <w:rFonts w:ascii="Calibri" w:hAnsi="Calibri"/>
          <w:color w:val="525866"/>
          <w:sz w:val="22"/>
        </w:rPr>
        <w:t xml:space="preserve"> UPS beat Q2 estimates and raised full-year guidance, but the stock fell ~6% as volume and margin guidance disappointed. </w:t>
      </w:r>
      <w:r>
        <w:rPr>
          <w:rFonts w:ascii="Calibri" w:hAnsi="Calibri"/>
          <w:b/>
          <w:color w:val="525866"/>
          <w:sz w:val="22"/>
        </w:rPr>
        <w:t xml:space="preserve">Implication: </w:t>
      </w:r>
      <w:r>
        <w:rPr>
          <w:rFonts w:ascii="Calibri" w:hAnsi="Calibri"/>
          <w:color w:val="525866"/>
          <w:sz w:val="22"/>
        </w:rPr>
        <w:t>The market is scrutinizing logistics companies' volume trajectories carefully; CHRW's deliberate volume/margin balance strategy (prioritizing gross profit over volume share) may face similar scrutiny.</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for CHRW in the post-Q1 window (April 29 – July 28, 2026) from the SEC Form 4 database. The absence of insider buying ahead of earnings is neutral; the absence of selling is modestly positive given the stock's recent sharp decline.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reportable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open-market buys (code P) or discretionary sells (code S) found for CHRW in the Apr 29 – Jul 28, 2026 window per SEC Form 4 database query</w:t>
            </w:r>
          </w:p>
        </w:tc>
      </w:tr>
    </w:tbl>
    <w:p>
      <w:r>
        <w:rPr>
          <w:rFonts w:ascii="Calibri" w:hAnsi="Calibri"/>
          <w:b/>
          <w:color w:val="525866"/>
          <w:sz w:val="22"/>
        </w:rPr>
        <w:t xml:space="preserve">Note: </w:t>
      </w:r>
      <w:r>
        <w:rPr>
          <w:rFonts w:ascii="Calibri" w:hAnsi="Calibri"/>
          <w:color w:val="525866"/>
          <w:sz w:val="22"/>
        </w:rPr>
        <w:t>The SEC Form 4 database was queried for open-market purchases (transaction code P) and sales (transaction code S) for CHRW between April 29 and July 28, 2026. No matching transactions were returned. Routine equity award grants, RSU vestings, and tax withholding transactions (which are obligation-driven and not discretionary signals) are excluded from this analysis. The absence of insider activity is not unusual for a company in a quiet period ahead of earnings.</w:t>
      </w:r>
    </w:p>
    <w:p>
      <w:r>
        <w:br w:type="page"/>
      </w:r>
    </w:p>
    <w:p>
      <w:pPr>
        <w:pStyle w:val="Heading2"/>
      </w:pPr>
      <w:r>
        <w:rPr>
          <w:rFonts w:ascii="Calibri" w:hAnsi="Calibri"/>
          <w:b/>
          <w:color w:val="3B4259"/>
          <w:sz w:val="28"/>
        </w:rPr>
        <w:t>8. Peer Commentary — Q2 2026 Current-Quarter Read-Through</w:t>
      </w:r>
    </w:p>
    <w:p>
      <w:r>
        <w:rPr>
          <w:rFonts w:ascii="Calibri" w:hAnsi="Calibri"/>
          <w:b/>
          <w:color w:val="525866"/>
          <w:sz w:val="22"/>
        </w:rPr>
        <w:t xml:space="preserve">Screening Criteria: </w:t>
      </w:r>
      <w:r>
        <w:rPr>
          <w:rFonts w:ascii="Calibri" w:hAnsi="Calibri"/>
          <w:color w:val="525866"/>
          <w:sz w:val="22"/>
        </w:rPr>
        <w:t>Only peer commentary from the last 60 days (May 29 – July 28, 2026) that specifically addresses Q2 2026 conditions or provides forward-looking commentary made during/after the Q2 reporting window is included. Commentary solely about prior-quarter (Q1 2026) results is excluded. Peers covered: J.B. Hunt (JBHT), Knight-Swift (KNX), Landstar System (LSTR), Werner Enterprises (WERN), TFI International (TFII), and RXO (Wells Fargo Conference, June 9). Sources: Q2 2026 earnings call transcripts and conference presentations.</w:t>
      </w:r>
    </w:p>
    <w:p>
      <w:pPr>
        <w:pStyle w:val="Heading3"/>
      </w:pPr>
      <w:r>
        <w:rPr>
          <w:rFonts w:ascii="Calibri" w:hAnsi="Calibri"/>
          <w:b/>
          <w:color w:val="3B4259"/>
          <w:sz w:val="24"/>
        </w:rPr>
        <w:t>8A. Freight Cycle &amp; Market Conditions</w:t>
      </w:r>
    </w:p>
    <w:p>
      <w:r>
        <w:rPr>
          <w:rFonts w:ascii="Calibri" w:hAnsi="Calibri"/>
          <w:b/>
          <w:color w:val="525866"/>
          <w:sz w:val="22"/>
        </w:rPr>
        <w:t xml:space="preserve">Read-Through Direction: </w:t>
      </w:r>
      <w:r>
        <w:rPr>
          <w:rFonts w:ascii="Calibri" w:hAnsi="Calibri"/>
          <w:b/>
          <w:color w:val="30A46C"/>
          <w:sz w:val="22"/>
        </w:rPr>
        <w:t>STRONGLY POSITIVE</w:t>
      </w:r>
    </w:p>
    <w:p>
      <w:pPr>
        <w:pStyle w:val="ListBullet"/>
        <w:ind w:left="360" w:hanging="360"/>
      </w:pPr>
      <w:r>
        <w:rPr>
          <w:rFonts w:ascii="Calibri" w:hAnsi="Calibri"/>
          <w:b/>
          <w:color w:val="525866"/>
          <w:sz w:val="22"/>
        </w:rPr>
        <w:t>LSTR (Q2 2026 Earnings, July 28):</w:t>
      </w:r>
      <w:r>
        <w:rPr>
          <w:rFonts w:ascii="Calibri" w:hAnsi="Calibri"/>
          <w:color w:val="525866"/>
          <w:sz w:val="22"/>
        </w:rPr>
        <w:t xml:space="preserve"> "Market conditions, which have favored the shipper since late 2022, have begun shifting rather rapidly in favor of the transportation provider." Truck revenue per load increased 14.4% sequentially Q2 vs. Q1 — the </w:t>
      </w:r>
      <w:r>
        <w:rPr>
          <w:rFonts w:ascii="Calibri" w:hAnsi="Calibri"/>
          <w:b/>
          <w:color w:val="525866"/>
          <w:sz w:val="22"/>
        </w:rPr>
        <w:t>largest sequential increase in 15 years</w:t>
      </w:r>
      <w:r>
        <w:rPr>
          <w:rFonts w:ascii="Calibri" w:hAnsi="Calibri"/>
          <w:color w:val="525866"/>
          <w:sz w:val="22"/>
        </w:rPr>
        <w:t xml:space="preserve">. Revenue per mile on van equipment was 11% above Q2 2025. July 2026 truck revenue per load is running ~26% above July 2025 on a processed basis, outperforming normal seasonality. </w:t>
      </w:r>
      <w:r>
        <w:rPr>
          <w:rFonts w:ascii="Calibri" w:hAnsi="Calibri"/>
          <w:b/>
          <w:color w:val="525866"/>
          <w:sz w:val="22"/>
        </w:rPr>
        <w:t xml:space="preserve">CHRW Read-Through: </w:t>
      </w:r>
      <w:r>
        <w:rPr>
          <w:rFonts w:ascii="Calibri" w:hAnsi="Calibri"/>
          <w:color w:val="525866"/>
          <w:sz w:val="22"/>
        </w:rPr>
        <w:t>Directly positive for NAST truckload gross margin and operating income. The rate environment in Q2 was materially stronger than consensus estimates implied.</w:t>
      </w:r>
    </w:p>
    <w:p>
      <w:pPr>
        <w:pStyle w:val="ListBullet"/>
        <w:ind w:left="360" w:hanging="360"/>
      </w:pPr>
      <w:r>
        <w:rPr>
          <w:rFonts w:ascii="Calibri" w:hAnsi="Calibri"/>
          <w:b/>
          <w:color w:val="525866"/>
          <w:sz w:val="22"/>
        </w:rPr>
        <w:t>KNX (Q2 2026 Earnings, July 22):</w:t>
      </w:r>
      <w:r>
        <w:rPr>
          <w:rFonts w:ascii="Calibri" w:hAnsi="Calibri"/>
          <w:color w:val="525866"/>
          <w:sz w:val="22"/>
        </w:rPr>
        <w:t xml:space="preserve"> "The truckload freight market has rapidly progressed over the past few months, with spot rates trending well ahead of normal seasonality. Tender rejection rates reaching levels not seen since 2021." Revenue per loaded mile (ex-fuel) accelerated in June as recent bids took effect, with double-digit percentage gains expected in Q3 pricing. Spot market exposure increased from ~10% to mid-teens. </w:t>
      </w:r>
      <w:r>
        <w:rPr>
          <w:rFonts w:ascii="Calibri" w:hAnsi="Calibri"/>
          <w:b/>
          <w:color w:val="525866"/>
          <w:sz w:val="22"/>
        </w:rPr>
        <w:t xml:space="preserve">CHRW Read-Through: </w:t>
      </w:r>
      <w:r>
        <w:rPr>
          <w:rFonts w:ascii="Calibri" w:hAnsi="Calibri"/>
          <w:color w:val="525866"/>
          <w:sz w:val="22"/>
        </w:rPr>
        <w:t>Positive for NAST spot and contractual margins. The acceleration in June is particularly relevant as it suggests Q2 exited stronger than it entered, supporting a sequential improvement in CHRW's gross margin per load.</w:t>
      </w:r>
    </w:p>
    <w:p>
      <w:pPr>
        <w:pStyle w:val="ListBullet"/>
        <w:ind w:left="360" w:hanging="360"/>
      </w:pPr>
      <w:r>
        <w:rPr>
          <w:rFonts w:ascii="Calibri" w:hAnsi="Calibri"/>
          <w:b/>
          <w:color w:val="525866"/>
          <w:sz w:val="22"/>
        </w:rPr>
        <w:t>WERN (Q2 2026 Earnings, July 28):</w:t>
      </w:r>
      <w:r>
        <w:rPr>
          <w:rFonts w:ascii="Calibri" w:hAnsi="Calibri"/>
          <w:color w:val="525866"/>
          <w:sz w:val="22"/>
        </w:rPr>
        <w:t xml:space="preserve"> "The structural capacity attrition we've been talking about for several quarters is playing out as predicted." Securing "upper single to double digit contractual increases in one-way bids." Dedicated revenue per truck per week rose 5.4% in Q2; raised full-year guidance from flat-to-up-3% to up-3-to-5%. Carrier exits described as "still in the early innings" with "third inning" of capacity removal. </w:t>
      </w:r>
      <w:r>
        <w:rPr>
          <w:rFonts w:ascii="Calibri" w:hAnsi="Calibri"/>
          <w:b/>
          <w:color w:val="525866"/>
          <w:sz w:val="22"/>
        </w:rPr>
        <w:t xml:space="preserve">CHRW Read-Through: </w:t>
      </w:r>
      <w:r>
        <w:rPr>
          <w:rFonts w:ascii="Calibri" w:hAnsi="Calibri"/>
          <w:color w:val="525866"/>
          <w:sz w:val="22"/>
        </w:rPr>
        <w:t>Positive for CHRW's contractual repricing and market share strategy. WERN's commentary that carrier exits are still early-stage supports CHRW management's view that the cycle has multi-year durability.</w:t>
      </w:r>
    </w:p>
    <w:p>
      <w:pPr>
        <w:pStyle w:val="ListBullet"/>
        <w:ind w:left="360" w:hanging="360"/>
      </w:pPr>
      <w:r>
        <w:rPr>
          <w:rFonts w:ascii="Calibri" w:hAnsi="Calibri"/>
          <w:b/>
          <w:color w:val="525866"/>
          <w:sz w:val="22"/>
        </w:rPr>
        <w:t>JBHT (Q2 2026 Earnings, July 15):</w:t>
      </w:r>
      <w:r>
        <w:rPr>
          <w:rFonts w:ascii="Calibri" w:hAnsi="Calibri"/>
          <w:color w:val="525866"/>
          <w:sz w:val="22"/>
        </w:rPr>
        <w:t xml:space="preserve"> "It is increasingly clear that the freight market has changed." Demand improved modestly from Q1; dedicated demand at "record levels even higher than we saw at the peak of Covid." Mini-bid frequency hit a record in Q2 as customers repriced to align with rising capacity costs. "The benefits of what is happening in the market [are] still to come." </w:t>
      </w:r>
      <w:r>
        <w:rPr>
          <w:rFonts w:ascii="Calibri" w:hAnsi="Calibri"/>
          <w:b/>
          <w:color w:val="525866"/>
          <w:sz w:val="22"/>
        </w:rPr>
        <w:t xml:space="preserve">CHRW Read-Through: </w:t>
      </w:r>
      <w:r>
        <w:rPr>
          <w:rFonts w:ascii="Calibri" w:hAnsi="Calibri"/>
          <w:color w:val="525866"/>
          <w:sz w:val="22"/>
        </w:rPr>
        <w:t>Positive. Record mini-bid activity is a direct positive for CHRW's brokerage business, which benefits from repricing events. JBHT's commentary that market benefits are "still to come" supports CHRW's H2-weighted productivity and earnings guidance.</w:t>
      </w:r>
    </w:p>
    <w:p>
      <w:pPr>
        <w:pStyle w:val="ListBullet"/>
        <w:ind w:left="360" w:hanging="360"/>
      </w:pPr>
      <w:r>
        <w:rPr>
          <w:rFonts w:ascii="Calibri" w:hAnsi="Calibri"/>
          <w:b/>
          <w:color w:val="525866"/>
          <w:sz w:val="22"/>
        </w:rPr>
        <w:t>TFII (Q2 2026 Earnings, July 27):</w:t>
      </w:r>
      <w:r>
        <w:rPr>
          <w:rFonts w:ascii="Calibri" w:hAnsi="Calibri"/>
          <w:color w:val="525866"/>
          <w:sz w:val="22"/>
        </w:rPr>
        <w:t xml:space="preserve"> "The world of truckload has changed tremendously over the last 6 to 9 months." Revenue per truck per week (ex-fuel) rose 13% YoY in Q2, accelerating from 11.1% in April to 14.4% in June. July running at 14.5%, consistent with June. Truckload brokerage revenue up 35% YoY "with good margin." Q3 guidance: 500-600 bps YoY OR improvement in truckload. </w:t>
      </w:r>
      <w:r>
        <w:rPr>
          <w:rFonts w:ascii="Calibri" w:hAnsi="Calibri"/>
          <w:b/>
          <w:color w:val="525866"/>
          <w:sz w:val="22"/>
        </w:rPr>
        <w:t xml:space="preserve">CHRW Read-Through: </w:t>
      </w:r>
      <w:r>
        <w:rPr>
          <w:rFonts w:ascii="Calibri" w:hAnsi="Calibri"/>
          <w:color w:val="525866"/>
          <w:sz w:val="22"/>
        </w:rPr>
        <w:t>Positive. The acceleration in pricing through Q2 and into July, combined with strong brokerage revenue growth, is directly supportive of CHRW's Q2 NAST performance and H2 outlook.</w:t>
      </w:r>
    </w:p>
    <w:p>
      <w:pPr>
        <w:pStyle w:val="ListBullet"/>
        <w:ind w:left="360" w:hanging="360"/>
      </w:pPr>
      <w:r>
        <w:rPr>
          <w:rFonts w:ascii="Calibri" w:hAnsi="Calibri"/>
          <w:b/>
          <w:color w:val="525866"/>
          <w:sz w:val="22"/>
        </w:rPr>
        <w:t>RXO (Wells Fargo Conference, June 9):</w:t>
      </w:r>
      <w:r>
        <w:rPr>
          <w:rFonts w:ascii="Calibri" w:hAnsi="Calibri"/>
          <w:color w:val="525866"/>
          <w:sz w:val="22"/>
        </w:rPr>
        <w:t xml:space="preserve"> Spot rates up "40% year over year" with tender rejections approaching 18%. Truckload gross profit per load (GPPL) up 9% sequentially in Q1; expected to increase again in Q2. Spot mix increased from 28% in Q4 to 35% by April, increasing further in May. Q2 GPPL expected to be "at least flat relative to April" (better than typical seasonal step-back). </w:t>
      </w:r>
      <w:r>
        <w:rPr>
          <w:rFonts w:ascii="Calibri" w:hAnsi="Calibri"/>
          <w:b/>
          <w:color w:val="525866"/>
          <w:sz w:val="22"/>
        </w:rPr>
        <w:t xml:space="preserve">CHRW Read-Through: </w:t>
      </w:r>
      <w:r>
        <w:rPr>
          <w:rFonts w:ascii="Calibri" w:hAnsi="Calibri"/>
          <w:color w:val="525866"/>
          <w:sz w:val="22"/>
        </w:rPr>
        <w:t>Positive. RXO's commentary (made June 9, squarely in Q2) confirms the spot rate and GPPL trajectory that supports a CHRW Q2 beat. The 40% YoY spot rate increase is the most striking data point — well above what was embedded in CHRW's Q2 consensus estimates.</w:t>
      </w:r>
    </w:p>
    <w:p>
      <w:pPr>
        <w:pStyle w:val="Heading3"/>
      </w:pPr>
      <w:r>
        <w:rPr>
          <w:rFonts w:ascii="Calibri" w:hAnsi="Calibri"/>
          <w:b/>
          <w:color w:val="3B4259"/>
          <w:sz w:val="24"/>
        </w:rPr>
        <w:t>8B. Capacity Tightening &amp; Regulatory Enforcement</w:t>
      </w:r>
    </w:p>
    <w:p>
      <w:r>
        <w:rPr>
          <w:rFonts w:ascii="Calibri" w:hAnsi="Calibri"/>
          <w:b/>
          <w:color w:val="525866"/>
          <w:sz w:val="22"/>
        </w:rPr>
        <w:t xml:space="preserve">Read-Through Direction: </w:t>
      </w:r>
      <w:r>
        <w:rPr>
          <w:rFonts w:ascii="Calibri" w:hAnsi="Calibri"/>
          <w:b/>
          <w:color w:val="30A46C"/>
          <w:sz w:val="22"/>
        </w:rPr>
        <w:t>POSITIVE (structural, multi-quarter)</w:t>
      </w:r>
    </w:p>
    <w:p>
      <w:pPr>
        <w:pStyle w:val="ListBullet"/>
        <w:ind w:left="360" w:hanging="360"/>
      </w:pPr>
      <w:r>
        <w:rPr>
          <w:rFonts w:ascii="Calibri" w:hAnsi="Calibri"/>
          <w:b/>
          <w:color w:val="525866"/>
          <w:sz w:val="22"/>
        </w:rPr>
        <w:t>WERN (Q2 2026 Earnings, July 28):</w:t>
      </w:r>
      <w:r>
        <w:rPr>
          <w:rFonts w:ascii="Calibri" w:hAnsi="Calibri"/>
          <w:color w:val="525866"/>
          <w:sz w:val="22"/>
        </w:rPr>
        <w:t xml:space="preserve"> Capacity tightness driven by "intensifying regulatory pressure, specifically around non-domiciled CDLs, English language proficiency and cabotage enforcement." ELD providers: "approximately one third exiting or having their certifications revoked." Long-haul truckload employment has dropped below pre-COVID levels. 550 fraudulent CDL schools shut down; nearly 10,000 CDL schools removed from registry; 700+ high-risk carrier investigations. Described as "third inning" of capacity removal. </w:t>
      </w:r>
      <w:r>
        <w:rPr>
          <w:rFonts w:ascii="Calibri" w:hAnsi="Calibri"/>
          <w:b/>
          <w:color w:val="525866"/>
          <w:sz w:val="22"/>
        </w:rPr>
        <w:t xml:space="preserve">CHRW Read-Through: </w:t>
      </w:r>
      <w:r>
        <w:rPr>
          <w:rFonts w:ascii="Calibri" w:hAnsi="Calibri"/>
          <w:color w:val="525866"/>
          <w:sz w:val="22"/>
        </w:rPr>
        <w:t>Positive. Structural capacity removal is the primary driver of the rate cycle CHRW is benefiting from. WERN's "third inning" characterization supports CHRW management's view of a multi-year recovery.</w:t>
      </w:r>
    </w:p>
    <w:p>
      <w:pPr>
        <w:pStyle w:val="ListBullet"/>
        <w:ind w:left="360" w:hanging="360"/>
      </w:pPr>
      <w:r>
        <w:rPr>
          <w:rFonts w:ascii="Calibri" w:hAnsi="Calibri"/>
          <w:b/>
          <w:color w:val="525866"/>
          <w:sz w:val="22"/>
        </w:rPr>
        <w:t>KNX (Q2 2026 Earnings, July 22):</w:t>
      </w:r>
      <w:r>
        <w:rPr>
          <w:rFonts w:ascii="Calibri" w:hAnsi="Calibri"/>
          <w:color w:val="525866"/>
          <w:sz w:val="22"/>
        </w:rPr>
        <w:t xml:space="preserve"> "We believe the efforts of the FMCSA and DOT, including initiatives to prevent and revoke invalidly issued CDLs, prevent cabotage, shut down non-compliant CDL schools and address hour of service abuses are in the early stages and will continue for some time." Driver market "clearly getting tighter" with specific markets "as tight as we have ever seen." </w:t>
      </w:r>
      <w:r>
        <w:rPr>
          <w:rFonts w:ascii="Calibri" w:hAnsi="Calibri"/>
          <w:b/>
          <w:color w:val="525866"/>
          <w:sz w:val="22"/>
        </w:rPr>
        <w:t xml:space="preserve">CHRW Read-Through: </w:t>
      </w:r>
      <w:r>
        <w:rPr>
          <w:rFonts w:ascii="Calibri" w:hAnsi="Calibri"/>
          <w:color w:val="525866"/>
          <w:sz w:val="22"/>
        </w:rPr>
        <w:t>Positive. Tighter driver markets and ongoing regulatory enforcement support sustained rate improvement and CHRW's ability to maintain/expand gross margins.</w:t>
      </w:r>
    </w:p>
    <w:p>
      <w:pPr>
        <w:pStyle w:val="ListBullet"/>
        <w:ind w:left="360" w:hanging="360"/>
      </w:pPr>
      <w:r>
        <w:rPr>
          <w:rFonts w:ascii="Calibri" w:hAnsi="Calibri"/>
          <w:b/>
          <w:color w:val="525866"/>
          <w:sz w:val="22"/>
        </w:rPr>
        <w:t>RXO (Wells Fargo Conference, June 9):</w:t>
      </w:r>
      <w:r>
        <w:rPr>
          <w:rFonts w:ascii="Calibri" w:hAnsi="Calibri"/>
          <w:color w:val="525866"/>
          <w:sz w:val="22"/>
        </w:rPr>
        <w:t xml:space="preserve"> DOT estimates 20-25% of capacity (ex-private fleets) is at risk; "high single digit low double digit" has already exited, with the market "halfway or a little bit ahead of halfway." Non-domiciled CDLs: ~200,000 at risk, ~30,000 already left. </w:t>
      </w:r>
      <w:r>
        <w:rPr>
          <w:rFonts w:ascii="Calibri" w:hAnsi="Calibri"/>
          <w:b/>
          <w:color w:val="525866"/>
          <w:sz w:val="22"/>
        </w:rPr>
        <w:t xml:space="preserve">CHRW Read-Through: </w:t>
      </w:r>
      <w:r>
        <w:rPr>
          <w:rFonts w:ascii="Calibri" w:hAnsi="Calibri"/>
          <w:color w:val="525866"/>
          <w:sz w:val="22"/>
        </w:rPr>
        <w:t>Positive. The quantification of capacity at risk (20-25% of for-hire market) is consistent with CHRW management's own estimate from the Q1 call, validating the structural thesis.</w:t>
      </w:r>
    </w:p>
    <w:p>
      <w:pPr>
        <w:pStyle w:val="ListBullet"/>
        <w:ind w:left="360" w:hanging="360"/>
      </w:pPr>
      <w:r>
        <w:rPr>
          <w:rFonts w:ascii="Calibri" w:hAnsi="Calibri"/>
          <w:b/>
          <w:color w:val="525866"/>
          <w:sz w:val="22"/>
        </w:rPr>
        <w:t>LSTR (Q2 2026 Earnings, July 28):</w:t>
      </w:r>
      <w:r>
        <w:rPr>
          <w:rFonts w:ascii="Calibri" w:hAnsi="Calibri"/>
          <w:color w:val="525866"/>
          <w:sz w:val="22"/>
        </w:rPr>
        <w:t xml:space="preserve"> BCO truck count saw "strongest quarterly improvement since Q1 2022" with 68 net truck additions. BCO utilization at 101.9 annualized loadings — "about five loads better than the previous all-time high." Utilization up 12% YoY and 8% sequentially. </w:t>
      </w:r>
      <w:r>
        <w:rPr>
          <w:rFonts w:ascii="Calibri" w:hAnsi="Calibri"/>
          <w:b/>
          <w:color w:val="525866"/>
          <w:sz w:val="22"/>
        </w:rPr>
        <w:t xml:space="preserve">CHRW Read-Through: </w:t>
      </w:r>
      <w:r>
        <w:rPr>
          <w:rFonts w:ascii="Calibri" w:hAnsi="Calibri"/>
          <w:color w:val="525866"/>
          <w:sz w:val="22"/>
        </w:rPr>
        <w:t>Positive. Strong BCO utilization confirms the demand-supply imbalance is real and not just a pricing artifact.</w:t>
      </w:r>
    </w:p>
    <w:p>
      <w:pPr>
        <w:pStyle w:val="Heading3"/>
      </w:pPr>
      <w:r>
        <w:rPr>
          <w:rFonts w:ascii="Calibri" w:hAnsi="Calibri"/>
          <w:b/>
          <w:color w:val="3B4259"/>
          <w:sz w:val="24"/>
        </w:rPr>
        <w:t>8C. Brokerage Margins — Mixed Signal</w:t>
      </w:r>
    </w:p>
    <w:p>
      <w:r>
        <w:rPr>
          <w:rFonts w:ascii="Calibri" w:hAnsi="Calibri"/>
          <w:b/>
          <w:color w:val="525866"/>
          <w:sz w:val="22"/>
        </w:rPr>
        <w:t xml:space="preserve">Read-Through Direction: </w:t>
      </w:r>
      <w:r>
        <w:rPr>
          <w:rFonts w:ascii="Calibri" w:hAnsi="Calibri"/>
          <w:b/>
          <w:color w:val="525866"/>
          <w:sz w:val="22"/>
        </w:rPr>
        <w:t>MIXED — spot cost absorption is a headwind, but CHRW's revenue management discipline has historically outperformed peers on this metric</w:t>
      </w:r>
    </w:p>
    <w:p>
      <w:pPr>
        <w:pStyle w:val="ListBullet"/>
        <w:ind w:left="360" w:hanging="360"/>
      </w:pPr>
      <w:r>
        <w:rPr>
          <w:rFonts w:ascii="Calibri" w:hAnsi="Calibri"/>
          <w:b/>
          <w:color w:val="525866"/>
          <w:sz w:val="22"/>
        </w:rPr>
        <w:t>KNX (Q2 2026 Earnings, July 22):</w:t>
      </w:r>
      <w:r>
        <w:rPr>
          <w:rFonts w:ascii="Calibri" w:hAnsi="Calibri"/>
          <w:color w:val="525866"/>
          <w:sz w:val="22"/>
        </w:rPr>
        <w:t xml:space="preserve"> Logistics segment gross margin of 15.4% in Q2 declined 350 bps YoY and 120 bps from Q1 levels. Adjusted OR for logistics was 96.4%, a 160 bps degradation YoY. "Tightness in third-party carrier capacity continued through the second quarter." </w:t>
      </w:r>
      <w:r>
        <w:rPr>
          <w:rFonts w:ascii="Calibri" w:hAnsi="Calibri"/>
          <w:b/>
          <w:color w:val="525866"/>
          <w:sz w:val="22"/>
        </w:rPr>
        <w:t xml:space="preserve">CHRW Read-Through: </w:t>
      </w:r>
      <w:r>
        <w:rPr>
          <w:rFonts w:ascii="Calibri" w:hAnsi="Calibri"/>
          <w:color w:val="525866"/>
          <w:sz w:val="22"/>
        </w:rPr>
        <w:t>Mixed. KNX's brokerage margin compression is a caution flag, but CHRW has consistently demonstrated superior revenue management vs. peers (maintained NAST gross margin in Q1 despite 19% YoY spot cost increase). The key question is whether CHRW's disciplined approach held in Q2 as well.</w:t>
      </w:r>
    </w:p>
    <w:p>
      <w:pPr>
        <w:pStyle w:val="ListBullet"/>
        <w:ind w:left="360" w:hanging="360"/>
      </w:pPr>
      <w:r>
        <w:rPr>
          <w:rFonts w:ascii="Calibri" w:hAnsi="Calibri"/>
          <w:b/>
          <w:color w:val="525866"/>
          <w:sz w:val="22"/>
        </w:rPr>
        <w:t>LSTR (Q2 2026 Earnings, July 28):</w:t>
      </w:r>
      <w:r>
        <w:rPr>
          <w:rFonts w:ascii="Calibri" w:hAnsi="Calibri"/>
          <w:color w:val="525866"/>
          <w:sz w:val="22"/>
        </w:rPr>
        <w:t xml:space="preserve"> Brokerage net revenue margin compressed 129 bps sequentially. Variable contribution margin declined to 13.9% from 14.1% in Q2 2025, "primarily due to decreased variable contribution margin on revenue generated by truck brokerage carriers, as the rate paid to truck brokerage carriers was 136 bps higher than the rate paid in Q2 2025." </w:t>
      </w:r>
      <w:r>
        <w:rPr>
          <w:rFonts w:ascii="Calibri" w:hAnsi="Calibri"/>
          <w:b/>
          <w:color w:val="525866"/>
          <w:sz w:val="22"/>
        </w:rPr>
        <w:t xml:space="preserve">CHRW Read-Through: </w:t>
      </w:r>
      <w:r>
        <w:rPr>
          <w:rFonts w:ascii="Calibri" w:hAnsi="Calibri"/>
          <w:color w:val="525866"/>
          <w:sz w:val="22"/>
        </w:rPr>
        <w:t>Mixed. Brokerage margin compression is an industry-wide phenomenon in a tightening market. CHRW's Q1 call highlighted its ability to offset this through spot file optimization and contractual repricing — the Q2 print will test whether this held.</w:t>
      </w:r>
    </w:p>
    <w:p>
      <w:pPr>
        <w:pStyle w:val="ListBullet"/>
        <w:ind w:left="360" w:hanging="360"/>
      </w:pPr>
      <w:r>
        <w:rPr>
          <w:rFonts w:ascii="Calibri" w:hAnsi="Calibri"/>
          <w:b/>
          <w:color w:val="525866"/>
          <w:sz w:val="22"/>
        </w:rPr>
        <w:t>WERN (Q2 2026 Earnings, July 28):</w:t>
      </w:r>
      <w:r>
        <w:rPr>
          <w:rFonts w:ascii="Calibri" w:hAnsi="Calibri"/>
          <w:color w:val="525866"/>
          <w:sz w:val="22"/>
        </w:rPr>
        <w:t xml:space="preserve"> "The spike in spot rates during the second quarter put further margin pressure on our logistics business, and April and May were the most challenging." However, "June gross margins improved and represented the highest margin of the quarter." July brokerage gross margin per load is "about 300 to 400 basis points" better than Q2 levels. </w:t>
      </w:r>
      <w:r>
        <w:rPr>
          <w:rFonts w:ascii="Calibri" w:hAnsi="Calibri"/>
          <w:b/>
          <w:color w:val="525866"/>
          <w:sz w:val="22"/>
        </w:rPr>
        <w:t xml:space="preserve">CHRW Read-Through: </w:t>
      </w:r>
      <w:r>
        <w:rPr>
          <w:rFonts w:ascii="Calibri" w:hAnsi="Calibri"/>
          <w:color w:val="525866"/>
          <w:sz w:val="22"/>
        </w:rPr>
        <w:t>Constructive. The June improvement and July acceleration in brokerage margins is a positive signal for CHRW's Q2 exit rate and Q3 setup. If CHRW's margin trajectory followed a similar pattern (April/May pressure, June recovery), the Q2 average may still be above consensus.</w:t>
      </w:r>
    </w:p>
    <w:p>
      <w:pPr>
        <w:pStyle w:val="ListBullet"/>
        <w:ind w:left="360" w:hanging="360"/>
      </w:pPr>
      <w:r>
        <w:rPr>
          <w:rFonts w:ascii="Calibri" w:hAnsi="Calibri"/>
          <w:b/>
          <w:color w:val="525866"/>
          <w:sz w:val="22"/>
        </w:rPr>
        <w:t>RXO (Wells Fargo Conference, June 9):</w:t>
      </w:r>
      <w:r>
        <w:rPr>
          <w:rFonts w:ascii="Calibri" w:hAnsi="Calibri"/>
          <w:color w:val="525866"/>
          <w:sz w:val="22"/>
        </w:rPr>
        <w:t xml:space="preserve"> Q2 GPPL expected to be "at least flat relative to April" (better than typical seasonal step-back of 700-900 bps). "Would certainly expect to see another improvement in gross profit per load from Q1 to Q2." </w:t>
      </w:r>
      <w:r>
        <w:rPr>
          <w:rFonts w:ascii="Calibri" w:hAnsi="Calibri"/>
          <w:b/>
          <w:color w:val="525866"/>
          <w:sz w:val="22"/>
        </w:rPr>
        <w:t xml:space="preserve">CHRW Read-Through: </w:t>
      </w:r>
      <w:r>
        <w:rPr>
          <w:rFonts w:ascii="Calibri" w:hAnsi="Calibri"/>
          <w:color w:val="525866"/>
          <w:sz w:val="22"/>
        </w:rPr>
        <w:t>Positive. RXO's better-than-seasonal GPPL trajectory in Q2 is consistent with CHRW's own revenue management discipline and supports a Q2 beat on NAST gross profit.</w:t>
      </w:r>
    </w:p>
    <w:p>
      <w:pPr>
        <w:pStyle w:val="Heading3"/>
      </w:pPr>
      <w:r>
        <w:rPr>
          <w:rFonts w:ascii="Calibri" w:hAnsi="Calibri"/>
          <w:b/>
          <w:color w:val="3B4259"/>
          <w:sz w:val="24"/>
        </w:rPr>
        <w:t>8D. Montgomery Ruling &amp; Broker Liability — Industry Consolidation Accelerating</w:t>
      </w:r>
    </w:p>
    <w:p>
      <w:r>
        <w:rPr>
          <w:rFonts w:ascii="Calibri" w:hAnsi="Calibri"/>
          <w:b/>
          <w:color w:val="525866"/>
          <w:sz w:val="22"/>
        </w:rPr>
        <w:t xml:space="preserve">Read-Through Direction: </w:t>
      </w:r>
      <w:r>
        <w:rPr>
          <w:rFonts w:ascii="Calibri" w:hAnsi="Calibri"/>
          <w:b/>
          <w:color w:val="525866"/>
          <w:sz w:val="22"/>
        </w:rPr>
        <w:t>POSITIVE LONG-TERM for CHRW (consolidation beneficiary), but NEGATIVE near-term given the Dallas verdict</w:t>
      </w:r>
    </w:p>
    <w:p>
      <w:pPr>
        <w:pStyle w:val="ListBullet"/>
        <w:ind w:left="360" w:hanging="360"/>
      </w:pPr>
      <w:r>
        <w:rPr>
          <w:rFonts w:ascii="Calibri" w:hAnsi="Calibri"/>
          <w:b/>
          <w:color w:val="525866"/>
          <w:sz w:val="22"/>
        </w:rPr>
        <w:t>KNX (Q2 2026 Earnings, July 22):</w:t>
      </w:r>
      <w:r>
        <w:rPr>
          <w:rFonts w:ascii="Calibri" w:hAnsi="Calibri"/>
          <w:color w:val="525866"/>
          <w:sz w:val="22"/>
        </w:rPr>
        <w:t xml:space="preserve"> "The Montgomery ruling could structurally change the economic incentives for a large share of the brokerage space that all too often have pursued the cheapest possible capacity with less regard for care, safety and quality." Broker liability insurance premiums expected to climb; "significant reduction in insurance capacity" and new exclusions regarding carrier vetting practices. Shippers starting to ask for higher insurance limits and inquire about carrier vetting. KNX's own brokerage insurance renewal (June) saw "significant" market changes. </w:t>
      </w:r>
      <w:r>
        <w:rPr>
          <w:rFonts w:ascii="Calibri" w:hAnsi="Calibri"/>
          <w:b/>
          <w:color w:val="525866"/>
          <w:sz w:val="22"/>
        </w:rPr>
        <w:t xml:space="preserve">CHRW Read-Through: </w:t>
      </w:r>
      <w:r>
        <w:rPr>
          <w:rFonts w:ascii="Calibri" w:hAnsi="Calibri"/>
          <w:color w:val="525866"/>
          <w:sz w:val="22"/>
        </w:rPr>
        <w:t>Mixed. KNX's firsthand experience with insurance market disruption post-Montgomery is a caution flag for CHRW's own insurance costs in 2027. However, CHRW management stated on the Q1 call that 2026 insurance costs are locked in and represent less than 0.5% of gross revenue. The Dallas verdict (July 24) is a direct manifestation of the emboldened plaintiff environment KNX describes.</w:t>
      </w:r>
    </w:p>
    <w:p>
      <w:pPr>
        <w:pStyle w:val="ListBullet"/>
        <w:ind w:left="360" w:hanging="360"/>
      </w:pPr>
      <w:r>
        <w:rPr>
          <w:rFonts w:ascii="Calibri" w:hAnsi="Calibri"/>
          <w:b/>
          <w:color w:val="525866"/>
          <w:sz w:val="22"/>
        </w:rPr>
        <w:t>LSTR (Q2 2026 Earnings, July 28):</w:t>
      </w:r>
      <w:r>
        <w:rPr>
          <w:rFonts w:ascii="Calibri" w:hAnsi="Calibri"/>
          <w:color w:val="525866"/>
          <w:sz w:val="22"/>
        </w:rPr>
        <w:t xml:space="preserve"> "Inbound interest and conversations with potential new agents has accelerated since the Montgomery decision was released in mid-May." Small-to-medium brokers "concerned about an existential risk." LSTR's own insurance renewals: auto liability tower flat (post-Montgomery), broker liability +3%. Cargo claim environment "really, really tough on the brokerage side." Prior-year claims development of $10.5M in Q2, "almost entirely attributable to five specific claims, three of which were brokerage claims." </w:t>
      </w:r>
      <w:r>
        <w:rPr>
          <w:rFonts w:ascii="Calibri" w:hAnsi="Calibri"/>
          <w:b/>
          <w:color w:val="525866"/>
          <w:sz w:val="22"/>
        </w:rPr>
        <w:t xml:space="preserve">CHRW Read-Through: </w:t>
      </w:r>
      <w:r>
        <w:rPr>
          <w:rFonts w:ascii="Calibri" w:hAnsi="Calibri"/>
          <w:color w:val="525866"/>
          <w:sz w:val="22"/>
        </w:rPr>
        <w:t>Mixed. The agent consolidation trend (smaller brokers fleeing to larger platforms) is a long-term positive for CHRW. However, LSTR's elevated claims experience and the "emboldened plaintiff" environment are directly relevant to the Dallas verdict risk CHRW now faces.</w:t>
      </w:r>
    </w:p>
    <w:p>
      <w:pPr>
        <w:pStyle w:val="ListBullet"/>
        <w:ind w:left="360" w:hanging="360"/>
      </w:pPr>
      <w:r>
        <w:rPr>
          <w:rFonts w:ascii="Calibri" w:hAnsi="Calibri"/>
          <w:b/>
          <w:color w:val="525866"/>
          <w:sz w:val="22"/>
        </w:rPr>
        <w:t>WERN (Q2 2026 Earnings, July 28):</w:t>
      </w:r>
      <w:r>
        <w:rPr>
          <w:rFonts w:ascii="Calibri" w:hAnsi="Calibri"/>
          <w:color w:val="525866"/>
          <w:sz w:val="22"/>
        </w:rPr>
        <w:t xml:space="preserve"> "Increased enforcement, along with the recent Montgomery verdict, has resulted in shippers and brokers taking an even more cautious view of who they do business with. That plays directly into Werner's strengths." Conversations "convert quickly from price to quality and reliability." Expects "added momentum from shippers looking to consolidate around larger asset-backed brokers following the Montgomery ruling." </w:t>
      </w:r>
      <w:r>
        <w:rPr>
          <w:rFonts w:ascii="Calibri" w:hAnsi="Calibri"/>
          <w:b/>
          <w:color w:val="525866"/>
          <w:sz w:val="22"/>
        </w:rPr>
        <w:t xml:space="preserve">CHRW Read-Through: </w:t>
      </w:r>
      <w:r>
        <w:rPr>
          <w:rFonts w:ascii="Calibri" w:hAnsi="Calibri"/>
          <w:color w:val="525866"/>
          <w:sz w:val="22"/>
        </w:rPr>
        <w:t>Positive for market share. WERN's commentary validates CHRW management's Q1 call thesis that the Montgomery ruling accelerates consolidation toward larger, better-capitalized brokers with strong vetting processes — a description that fits CHRW.</w:t>
      </w:r>
    </w:p>
    <w:p>
      <w:pPr>
        <w:pStyle w:val="ListBullet"/>
        <w:ind w:left="360" w:hanging="360"/>
      </w:pPr>
      <w:r>
        <w:rPr>
          <w:rFonts w:ascii="Calibri" w:hAnsi="Calibri"/>
          <w:b/>
          <w:color w:val="525866"/>
          <w:sz w:val="22"/>
        </w:rPr>
        <w:t>TFII (Q2 2026 Earnings, July 27):</w:t>
      </w:r>
      <w:r>
        <w:rPr>
          <w:rFonts w:ascii="Calibri" w:hAnsi="Calibri"/>
          <w:color w:val="525866"/>
          <w:sz w:val="22"/>
        </w:rPr>
        <w:t xml:space="preserve"> "I think that with this judgment that we've seen, it's only going to increase the level of diligence that brokers are going to do on their carriers. And so I think this is going to benefit folks like us." Shippers expected to have a "wake up call" to deal with reputable carriers. </w:t>
      </w:r>
      <w:r>
        <w:rPr>
          <w:rFonts w:ascii="Calibri" w:hAnsi="Calibri"/>
          <w:b/>
          <w:color w:val="525866"/>
          <w:sz w:val="22"/>
        </w:rPr>
        <w:t xml:space="preserve">CHRW Read-Through: </w:t>
      </w:r>
      <w:r>
        <w:rPr>
          <w:rFonts w:ascii="Calibri" w:hAnsi="Calibri"/>
          <w:color w:val="525866"/>
          <w:sz w:val="22"/>
        </w:rPr>
        <w:t>Positive for market share. TFII's view aligns with CHRW's own thesis. The key risk is that the Dallas verdict (a specific case against CHRW) may complicate the narrative that CHRW is the "safe" consolidator.</w:t>
      </w:r>
    </w:p>
    <w:p>
      <w:pPr>
        <w:pStyle w:val="ListBullet"/>
        <w:ind w:left="360" w:hanging="360"/>
      </w:pPr>
      <w:r>
        <w:rPr>
          <w:rFonts w:ascii="Calibri" w:hAnsi="Calibri"/>
          <w:b/>
          <w:color w:val="525866"/>
          <w:sz w:val="22"/>
        </w:rPr>
        <w:t>RXO (Wells Fargo Conference, June 9):</w:t>
      </w:r>
      <w:r>
        <w:rPr>
          <w:rFonts w:ascii="Calibri" w:hAnsi="Calibri"/>
          <w:color w:val="525866"/>
          <w:sz w:val="22"/>
        </w:rPr>
        <w:t xml:space="preserve"> Montgomery ruling is "accelerating" capacity exit "even faster" than the 10% of brokers that went out of business in 2024. Shippers consolidating business with larger brokers who have strong vetting processes. </w:t>
      </w:r>
      <w:r>
        <w:rPr>
          <w:rFonts w:ascii="Calibri" w:hAnsi="Calibri"/>
          <w:b/>
          <w:color w:val="525866"/>
          <w:sz w:val="22"/>
        </w:rPr>
        <w:t xml:space="preserve">CHRW Read-Through: </w:t>
      </w:r>
      <w:r>
        <w:rPr>
          <w:rFonts w:ascii="Calibri" w:hAnsi="Calibri"/>
          <w:color w:val="525866"/>
          <w:sz w:val="22"/>
        </w:rPr>
        <w:t>Positive for market share. RXO's June 9 commentary (pre-Dallas verdict) confirms the consolidation thesis. The Dallas verdict introduces a complication: CHRW is simultaneously positioned as the consolidator AND facing a major liability claim related to carrier vetting.</w:t>
      </w:r>
    </w:p>
    <w:p>
      <w:pPr>
        <w:pStyle w:val="Heading3"/>
      </w:pPr>
      <w:r>
        <w:rPr>
          <w:rFonts w:ascii="Calibri" w:hAnsi="Calibri"/>
          <w:b/>
          <w:color w:val="3B4259"/>
          <w:sz w:val="24"/>
        </w:rPr>
        <w:t>8E. Volumes &amp; Demand</w:t>
      </w:r>
    </w:p>
    <w:p>
      <w:r>
        <w:rPr>
          <w:rFonts w:ascii="Calibri" w:hAnsi="Calibri"/>
          <w:b/>
          <w:color w:val="525866"/>
          <w:sz w:val="22"/>
        </w:rPr>
        <w:t xml:space="preserve">Read-Through Direction: </w:t>
      </w:r>
      <w:r>
        <w:rPr>
          <w:rFonts w:ascii="Calibri" w:hAnsi="Calibri"/>
          <w:b/>
          <w:color w:val="525866"/>
          <w:sz w:val="22"/>
        </w:rPr>
        <w:t>MODESTLY POSITIVE — demand improving but still not robust; supply-driven recovery dominates</w:t>
      </w:r>
    </w:p>
    <w:p>
      <w:pPr>
        <w:pStyle w:val="ListBullet"/>
        <w:ind w:left="360" w:hanging="360"/>
      </w:pPr>
      <w:r>
        <w:rPr>
          <w:rFonts w:ascii="Calibri" w:hAnsi="Calibri"/>
          <w:b/>
          <w:color w:val="525866"/>
          <w:sz w:val="22"/>
        </w:rPr>
        <w:t>JBHT (Q2 2026 Earnings, July 15):</w:t>
      </w:r>
      <w:r>
        <w:rPr>
          <w:rFonts w:ascii="Calibri" w:hAnsi="Calibri"/>
          <w:color w:val="525866"/>
          <w:sz w:val="22"/>
        </w:rPr>
        <w:t xml:space="preserve"> "Overall freight demand improved modestly from the first quarter." Demand in "many industrial markets is improving, and U.S. consumer demand remains resilient." Dedicated demand at record levels. Mini-bid frequency hit a record in Q2. </w:t>
      </w:r>
      <w:r>
        <w:rPr>
          <w:rFonts w:ascii="Calibri" w:hAnsi="Calibri"/>
          <w:b/>
          <w:color w:val="525866"/>
          <w:sz w:val="22"/>
        </w:rPr>
        <w:t xml:space="preserve">CHRW Read-Through: </w:t>
      </w:r>
      <w:r>
        <w:rPr>
          <w:rFonts w:ascii="Calibri" w:hAnsi="Calibri"/>
          <w:color w:val="525866"/>
          <w:sz w:val="22"/>
        </w:rPr>
        <w:t>Positive. Improving industrial demand and record dedicated bid activity support CHRW's volume outlook, particularly in NAST.</w:t>
      </w:r>
    </w:p>
    <w:p>
      <w:pPr>
        <w:pStyle w:val="ListBullet"/>
        <w:ind w:left="360" w:hanging="360"/>
      </w:pPr>
      <w:r>
        <w:rPr>
          <w:rFonts w:ascii="Calibri" w:hAnsi="Calibri"/>
          <w:b/>
          <w:color w:val="525866"/>
          <w:sz w:val="22"/>
        </w:rPr>
        <w:t>LSTR (Q2 2026 Earnings, July 28):</w:t>
      </w:r>
      <w:r>
        <w:rPr>
          <w:rFonts w:ascii="Calibri" w:hAnsi="Calibri"/>
          <w:color w:val="525866"/>
          <w:sz w:val="22"/>
        </w:rPr>
        <w:t xml:space="preserve"> Number of loads hauled via truck "slightly outpacing normal seasonal patterns" — first time in Q2 since 2021. ISM index above 50 for all six months of 2026. Heavy haul volumes up 9% YoY; electrical loadings up 31% YoY (data center demand). July 2026 truck volumes approximately 5% above July 2025. </w:t>
      </w:r>
      <w:r>
        <w:rPr>
          <w:rFonts w:ascii="Calibri" w:hAnsi="Calibri"/>
          <w:b/>
          <w:color w:val="525866"/>
          <w:sz w:val="22"/>
        </w:rPr>
        <w:t xml:space="preserve">CHRW Read-Through: </w:t>
      </w:r>
      <w:r>
        <w:rPr>
          <w:rFonts w:ascii="Calibri" w:hAnsi="Calibri"/>
          <w:color w:val="525866"/>
          <w:sz w:val="22"/>
        </w:rPr>
        <w:t>Positive. LSTR's volume outperformance vs. seasonal norms and strong data center/electrical demand are consistent with CHRW's market share gain thesis.</w:t>
      </w:r>
    </w:p>
    <w:p>
      <w:pPr>
        <w:pStyle w:val="ListBullet"/>
        <w:ind w:left="360" w:hanging="360"/>
      </w:pPr>
      <w:r>
        <w:rPr>
          <w:rFonts w:ascii="Calibri" w:hAnsi="Calibri"/>
          <w:b/>
          <w:color w:val="525866"/>
          <w:sz w:val="22"/>
        </w:rPr>
        <w:t>RXO (Wells Fargo Conference, June 9):</w:t>
      </w:r>
      <w:r>
        <w:rPr>
          <w:rFonts w:ascii="Calibri" w:hAnsi="Calibri"/>
          <w:color w:val="525866"/>
          <w:sz w:val="22"/>
        </w:rPr>
        <w:t xml:space="preserve"> Overall demand "still not strong" and "still not at 2019 levels." Industrial manufacturing "a positive." AI data centers "biggest growth areas." Q2 volumes expected to be "around flattish" (improvement from Q1's -2% vs. Cass -4%). </w:t>
      </w:r>
      <w:r>
        <w:rPr>
          <w:rFonts w:ascii="Calibri" w:hAnsi="Calibri"/>
          <w:b/>
          <w:color w:val="525866"/>
          <w:sz w:val="22"/>
        </w:rPr>
        <w:t xml:space="preserve">CHRW Read-Through: </w:t>
      </w:r>
      <w:r>
        <w:rPr>
          <w:rFonts w:ascii="Calibri" w:hAnsi="Calibri"/>
          <w:color w:val="525866"/>
          <w:sz w:val="22"/>
        </w:rPr>
        <w:t>Mixed. Demand is improving but not robust. CHRW's 12-quarter market share outperformance vs. Cass suggests it can grow volumes even in a soft demand environment.</w:t>
      </w:r>
    </w:p>
    <w:p>
      <w:pPr>
        <w:pStyle w:val="ListBullet"/>
        <w:ind w:left="360" w:hanging="360"/>
      </w:pPr>
      <w:r>
        <w:rPr>
          <w:rFonts w:ascii="Calibri" w:hAnsi="Calibri"/>
          <w:b/>
          <w:color w:val="525866"/>
          <w:sz w:val="22"/>
        </w:rPr>
        <w:t>TFII (Q2 2026 Earnings, July 27):</w:t>
      </w:r>
      <w:r>
        <w:rPr>
          <w:rFonts w:ascii="Calibri" w:hAnsi="Calibri"/>
          <w:color w:val="525866"/>
          <w:sz w:val="22"/>
        </w:rPr>
        <w:t xml:space="preserve"> Truckload pricing "very impressive" but demand "not crazy." LTL shipment count up 7.5% in Q2 but revenue per shipment (ex-fuel) down 2% — TFII acknowledges having "too much volume and not enough price" in LTL. </w:t>
      </w:r>
      <w:r>
        <w:rPr>
          <w:rFonts w:ascii="Calibri" w:hAnsi="Calibri"/>
          <w:b/>
          <w:color w:val="525866"/>
          <w:sz w:val="22"/>
        </w:rPr>
        <w:t xml:space="preserve">CHRW Read-Through: </w:t>
      </w:r>
      <w:r>
        <w:rPr>
          <w:rFonts w:ascii="Calibri" w:hAnsi="Calibri"/>
          <w:color w:val="525866"/>
          <w:sz w:val="22"/>
        </w:rPr>
        <w:t>Neutral for CHRW's LTL business. CHRW's LTL segment has delivered 9 consecutive quarters of YoY volume growth; the TFII LTL commentary is more specific to TFII's pricing execution issues than a market-wide signal.</w:t>
      </w:r>
    </w:p>
    <w:p>
      <w:pPr>
        <w:pStyle w:val="Heading3"/>
      </w:pPr>
      <w:r>
        <w:rPr>
          <w:rFonts w:ascii="Calibri" w:hAnsi="Calibri"/>
          <w:b/>
          <w:color w:val="3B4259"/>
          <w:sz w:val="24"/>
        </w:rPr>
        <w:t>8F. Fuel — Margin Optics Headwind, Neutral on Dollars</w:t>
      </w:r>
    </w:p>
    <w:p>
      <w:r>
        <w:rPr>
          <w:rFonts w:ascii="Calibri" w:hAnsi="Calibri"/>
          <w:b/>
          <w:color w:val="525866"/>
          <w:sz w:val="22"/>
        </w:rPr>
        <w:t xml:space="preserve">Read-Through Direction: </w:t>
      </w:r>
      <w:r>
        <w:rPr>
          <w:rFonts w:ascii="Calibri" w:hAnsi="Calibri"/>
          <w:b/>
          <w:color w:val="525866"/>
          <w:sz w:val="22"/>
        </w:rPr>
        <w:t>NEUTRAL on gross profit dollars; NEGATIVE on gross margin percentage optics</w:t>
      </w:r>
    </w:p>
    <w:p>
      <w:pPr>
        <w:pStyle w:val="ListBullet"/>
        <w:ind w:left="360" w:hanging="360"/>
      </w:pPr>
      <w:r>
        <w:rPr>
          <w:rFonts w:ascii="Calibri" w:hAnsi="Calibri"/>
          <w:b/>
          <w:color w:val="525866"/>
          <w:sz w:val="22"/>
        </w:rPr>
        <w:t>RXO (Wells Fargo Conference, June 9):</w:t>
      </w:r>
      <w:r>
        <w:rPr>
          <w:rFonts w:ascii="Calibri" w:hAnsi="Calibri"/>
          <w:color w:val="525866"/>
          <w:sz w:val="22"/>
        </w:rPr>
        <w:t xml:space="preserve"> "Fuel is mostly a pass-through for us. Same gross profit dollar, higher revenue deflates gross margin percentage. No impact on truckload gross profit per load." </w:t>
      </w:r>
      <w:r>
        <w:rPr>
          <w:rFonts w:ascii="Calibri" w:hAnsi="Calibri"/>
          <w:b/>
          <w:color w:val="525866"/>
          <w:sz w:val="22"/>
        </w:rPr>
        <w:t xml:space="preserve">CHRW Read-Through: </w:t>
      </w:r>
      <w:r>
        <w:rPr>
          <w:rFonts w:ascii="Calibri" w:hAnsi="Calibri"/>
          <w:color w:val="525866"/>
          <w:sz w:val="22"/>
        </w:rPr>
        <w:t>Consistent with CHRW's own Q1 commentary (fuel surcharge increase reduced NAST gross margin % by 50+ bps in March but had minimal impact on gross profit dollars). Investors should look through gross margin % compression to gross profit dollars and operating income.</w:t>
      </w:r>
    </w:p>
    <w:p>
      <w:pPr>
        <w:pStyle w:val="ListBullet"/>
        <w:ind w:left="360" w:hanging="360"/>
      </w:pPr>
      <w:r>
        <w:rPr>
          <w:rFonts w:ascii="Calibri" w:hAnsi="Calibri"/>
          <w:b/>
          <w:color w:val="525866"/>
          <w:sz w:val="22"/>
        </w:rPr>
        <w:t>JBHT (Q2 2026 Earnings, July 15):</w:t>
      </w:r>
      <w:r>
        <w:rPr>
          <w:rFonts w:ascii="Calibri" w:hAnsi="Calibri"/>
          <w:color w:val="525866"/>
          <w:sz w:val="22"/>
        </w:rPr>
        <w:t xml:space="preserve"> Fuel estimated to be "close to a 100 basis point headwind to operating margin percentage" in Q2 vs. prior year, even as a pass-through. </w:t>
      </w:r>
      <w:r>
        <w:rPr>
          <w:rFonts w:ascii="Calibri" w:hAnsi="Calibri"/>
          <w:b/>
          <w:color w:val="525866"/>
          <w:sz w:val="22"/>
        </w:rPr>
        <w:t xml:space="preserve">CHRW Read-Through: </w:t>
      </w:r>
      <w:r>
        <w:rPr>
          <w:rFonts w:ascii="Calibri" w:hAnsi="Calibri"/>
          <w:color w:val="525866"/>
          <w:sz w:val="22"/>
        </w:rPr>
        <w:t>Caution: Fuel surcharge dynamics may cause CHRW's reported gross margin % to look optically weaker than the underlying business performance. Focus on gross profit dollars and operating income, not margin %.</w:t>
      </w:r>
    </w:p>
    <w:p>
      <w:pPr>
        <w:pStyle w:val="Heading3"/>
      </w:pPr>
      <w:r>
        <w:rPr>
          <w:rFonts w:ascii="Calibri" w:hAnsi="Calibri"/>
          <w:b/>
          <w:color w:val="3B4259"/>
          <w:sz w:val="24"/>
        </w:rPr>
        <w:t>8G. 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CHRW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JBHT</w:t>
            </w:r>
          </w:p>
        </w:tc>
        <w:tc>
          <w:tcPr>
            <w:tcW w:type="dxa" w:w="1728"/>
          </w:tcPr>
          <w:p>
            <w:r>
              <w:rPr>
                <w:rFonts w:ascii="Calibri" w:hAnsi="Calibri"/>
                <w:sz w:val="22"/>
              </w:rPr>
              <w:t>Jul 15, 2026</w:t>
            </w:r>
          </w:p>
        </w:tc>
        <w:tc>
          <w:tcPr>
            <w:tcW w:type="dxa" w:w="1728"/>
          </w:tcPr>
          <w:p>
            <w:r>
              <w:rPr>
                <w:rFonts w:ascii="Calibri" w:hAnsi="Calibri"/>
                <w:sz w:val="22"/>
              </w:rPr>
              <w:t>Beat &amp; raised; record mini-bid activity; market has "changed"; benefits "still to come"</w:t>
            </w:r>
          </w:p>
        </w:tc>
        <w:tc>
          <w:tcPr>
            <w:tcW w:type="dxa" w:w="1728"/>
          </w:tcPr>
          <w:p>
            <w:r>
              <w:rPr>
                <w:rFonts w:ascii="Calibri" w:hAnsi="Calibri"/>
                <w:sz w:val="22"/>
              </w:rPr>
              <w:t>Positive for NAST volumes and repricing momentum</w:t>
            </w:r>
          </w:p>
        </w:tc>
        <w:tc>
          <w:tcPr>
            <w:tcW w:type="dxa" w:w="1728"/>
          </w:tcPr>
          <w:p>
            <w:r>
              <w:rPr>
                <w:rFonts w:ascii="Calibri" w:hAnsi="Calibri"/>
                <w:b/>
                <w:color w:val="30A46C"/>
                <w:sz w:val="22"/>
              </w:rPr>
              <w:t>POSITIVE</w:t>
            </w:r>
          </w:p>
        </w:tc>
      </w:tr>
      <w:tr>
        <w:tc>
          <w:tcPr>
            <w:tcW w:type="dxa" w:w="1728"/>
          </w:tcPr>
          <w:p>
            <w:r>
              <w:rPr>
                <w:rFonts w:ascii="Calibri" w:hAnsi="Calibri"/>
                <w:sz w:val="22"/>
              </w:rPr>
              <w:t>KNX</w:t>
            </w:r>
          </w:p>
        </w:tc>
        <w:tc>
          <w:tcPr>
            <w:tcW w:type="dxa" w:w="1728"/>
          </w:tcPr>
          <w:p>
            <w:r>
              <w:rPr>
                <w:rFonts w:ascii="Calibri" w:hAnsi="Calibri"/>
                <w:sz w:val="22"/>
              </w:rPr>
              <w:t>Jul 22, 2026</w:t>
            </w:r>
          </w:p>
        </w:tc>
        <w:tc>
          <w:tcPr>
            <w:tcW w:type="dxa" w:w="1728"/>
          </w:tcPr>
          <w:p>
            <w:r>
              <w:rPr>
                <w:rFonts w:ascii="Calibri" w:hAnsi="Calibri"/>
                <w:sz w:val="22"/>
              </w:rPr>
              <w:t>Spot rates well ahead of seasonality; tender rejections at 2021 highs; brokerage margins compressed 350 bps YoY</w:t>
            </w:r>
          </w:p>
        </w:tc>
        <w:tc>
          <w:tcPr>
            <w:tcW w:type="dxa" w:w="1728"/>
          </w:tcPr>
          <w:p>
            <w:r>
              <w:rPr>
                <w:rFonts w:ascii="Calibri" w:hAnsi="Calibri"/>
                <w:sz w:val="22"/>
              </w:rPr>
              <w:t>Positive on rates; caution on brokerage margin compression</w:t>
            </w:r>
          </w:p>
        </w:tc>
        <w:tc>
          <w:tcPr>
            <w:tcW w:type="dxa" w:w="1728"/>
          </w:tcPr>
          <w:p>
            <w:r>
              <w:rPr>
                <w:rFonts w:ascii="Calibri" w:hAnsi="Calibri"/>
                <w:b/>
                <w:color w:val="002FA7"/>
                <w:sz w:val="22"/>
              </w:rPr>
              <w:t>MIXED</w:t>
            </w:r>
          </w:p>
        </w:tc>
      </w:tr>
      <w:tr>
        <w:tc>
          <w:tcPr>
            <w:tcW w:type="dxa" w:w="1728"/>
          </w:tcPr>
          <w:p>
            <w:r>
              <w:rPr>
                <w:rFonts w:ascii="Calibri" w:hAnsi="Calibri"/>
                <w:sz w:val="22"/>
              </w:rPr>
              <w:t>LSTR</w:t>
            </w:r>
          </w:p>
        </w:tc>
        <w:tc>
          <w:tcPr>
            <w:tcW w:type="dxa" w:w="1728"/>
          </w:tcPr>
          <w:p>
            <w:r>
              <w:rPr>
                <w:rFonts w:ascii="Calibri" w:hAnsi="Calibri"/>
                <w:sz w:val="22"/>
              </w:rPr>
              <w:t>Jul 28, 2026</w:t>
            </w:r>
          </w:p>
        </w:tc>
        <w:tc>
          <w:tcPr>
            <w:tcW w:type="dxa" w:w="1728"/>
          </w:tcPr>
          <w:p>
            <w:r>
              <w:rPr>
                <w:rFonts w:ascii="Calibri" w:hAnsi="Calibri"/>
                <w:sz w:val="22"/>
              </w:rPr>
              <w:t>Largest sequential rate increase in 15 years; volumes outperforming seasonality; brokerage margin compressed 129 bps sequentially; elevated claims</w:t>
            </w:r>
          </w:p>
        </w:tc>
        <w:tc>
          <w:tcPr>
            <w:tcW w:type="dxa" w:w="1728"/>
          </w:tcPr>
          <w:p>
            <w:r>
              <w:rPr>
                <w:rFonts w:ascii="Calibri" w:hAnsi="Calibri"/>
                <w:sz w:val="22"/>
              </w:rPr>
              <w:t>Positive on rates/volumes; caution on brokerage margins and claims environment</w:t>
            </w:r>
          </w:p>
        </w:tc>
        <w:tc>
          <w:tcPr>
            <w:tcW w:type="dxa" w:w="1728"/>
          </w:tcPr>
          <w:p>
            <w:r>
              <w:rPr>
                <w:rFonts w:ascii="Calibri" w:hAnsi="Calibri"/>
                <w:b/>
                <w:color w:val="002FA7"/>
                <w:sz w:val="22"/>
              </w:rPr>
              <w:t>MIXED</w:t>
            </w:r>
          </w:p>
        </w:tc>
      </w:tr>
      <w:tr>
        <w:tc>
          <w:tcPr>
            <w:tcW w:type="dxa" w:w="1728"/>
          </w:tcPr>
          <w:p>
            <w:r>
              <w:rPr>
                <w:rFonts w:ascii="Calibri" w:hAnsi="Calibri"/>
                <w:sz w:val="22"/>
              </w:rPr>
              <w:t>WERN</w:t>
            </w:r>
          </w:p>
        </w:tc>
        <w:tc>
          <w:tcPr>
            <w:tcW w:type="dxa" w:w="1728"/>
          </w:tcPr>
          <w:p>
            <w:r>
              <w:rPr>
                <w:rFonts w:ascii="Calibri" w:hAnsi="Calibri"/>
                <w:sz w:val="22"/>
              </w:rPr>
              <w:t>Jul 28, 2026</w:t>
            </w:r>
          </w:p>
        </w:tc>
        <w:tc>
          <w:tcPr>
            <w:tcW w:type="dxa" w:w="1728"/>
          </w:tcPr>
          <w:p>
            <w:r>
              <w:rPr>
                <w:rFonts w:ascii="Calibri" w:hAnsi="Calibri"/>
                <w:sz w:val="22"/>
              </w:rPr>
              <w:t>Upper single to double-digit contractual rate increases; June brokerage margins best of quarter; July margins 300-400 bps better than Q2</w:t>
            </w:r>
          </w:p>
        </w:tc>
        <w:tc>
          <w:tcPr>
            <w:tcW w:type="dxa" w:w="1728"/>
          </w:tcPr>
          <w:p>
            <w:r>
              <w:rPr>
                <w:rFonts w:ascii="Calibri" w:hAnsi="Calibri"/>
                <w:sz w:val="22"/>
              </w:rPr>
              <w:t>Positive on rates and brokerage margin trajectory into Q3</w:t>
            </w:r>
          </w:p>
        </w:tc>
        <w:tc>
          <w:tcPr>
            <w:tcW w:type="dxa" w:w="1728"/>
          </w:tcPr>
          <w:p>
            <w:r>
              <w:rPr>
                <w:rFonts w:ascii="Calibri" w:hAnsi="Calibri"/>
                <w:b/>
                <w:color w:val="30A46C"/>
                <w:sz w:val="22"/>
              </w:rPr>
              <w:t>POSITIVE</w:t>
            </w:r>
          </w:p>
        </w:tc>
      </w:tr>
      <w:tr>
        <w:tc>
          <w:tcPr>
            <w:tcW w:type="dxa" w:w="1728"/>
          </w:tcPr>
          <w:p>
            <w:r>
              <w:rPr>
                <w:rFonts w:ascii="Calibri" w:hAnsi="Calibri"/>
                <w:sz w:val="22"/>
              </w:rPr>
              <w:t>TFII</w:t>
            </w:r>
          </w:p>
        </w:tc>
        <w:tc>
          <w:tcPr>
            <w:tcW w:type="dxa" w:w="1728"/>
          </w:tcPr>
          <w:p>
            <w:r>
              <w:rPr>
                <w:rFonts w:ascii="Calibri" w:hAnsi="Calibri"/>
                <w:sz w:val="22"/>
              </w:rPr>
              <w:t>Jul 27, 2026</w:t>
            </w:r>
          </w:p>
        </w:tc>
        <w:tc>
          <w:tcPr>
            <w:tcW w:type="dxa" w:w="1728"/>
          </w:tcPr>
          <w:p>
            <w:r>
              <w:rPr>
                <w:rFonts w:ascii="Calibri" w:hAnsi="Calibri"/>
                <w:sz w:val="22"/>
              </w:rPr>
              <w:t>Revenue per truck +13% YoY in Q2, accelerating to +14.4% in June; brokerage revenue +35% YoY; Q3 OR improvement 500-600 bps</w:t>
            </w:r>
          </w:p>
        </w:tc>
        <w:tc>
          <w:tcPr>
            <w:tcW w:type="dxa" w:w="1728"/>
          </w:tcPr>
          <w:p>
            <w:r>
              <w:rPr>
                <w:rFonts w:ascii="Calibri" w:hAnsi="Calibri"/>
                <w:sz w:val="22"/>
              </w:rPr>
              <w:t>Positive on rate acceleration and brokerage revenue growth</w:t>
            </w:r>
          </w:p>
        </w:tc>
        <w:tc>
          <w:tcPr>
            <w:tcW w:type="dxa" w:w="1728"/>
          </w:tcPr>
          <w:p>
            <w:r>
              <w:rPr>
                <w:rFonts w:ascii="Calibri" w:hAnsi="Calibri"/>
                <w:b/>
                <w:color w:val="30A46C"/>
                <w:sz w:val="22"/>
              </w:rPr>
              <w:t>POSITIVE</w:t>
            </w:r>
          </w:p>
        </w:tc>
      </w:tr>
      <w:tr>
        <w:tc>
          <w:tcPr>
            <w:tcW w:type="dxa" w:w="1728"/>
          </w:tcPr>
          <w:p>
            <w:r>
              <w:rPr>
                <w:rFonts w:ascii="Calibri" w:hAnsi="Calibri"/>
                <w:sz w:val="22"/>
              </w:rPr>
              <w:t>RXO (WF Conference)</w:t>
            </w:r>
          </w:p>
        </w:tc>
        <w:tc>
          <w:tcPr>
            <w:tcW w:type="dxa" w:w="1728"/>
          </w:tcPr>
          <w:p>
            <w:r>
              <w:rPr>
                <w:rFonts w:ascii="Calibri" w:hAnsi="Calibri"/>
                <w:sz w:val="22"/>
              </w:rPr>
              <w:t>Jun 9, 2026</w:t>
            </w:r>
          </w:p>
        </w:tc>
        <w:tc>
          <w:tcPr>
            <w:tcW w:type="dxa" w:w="1728"/>
          </w:tcPr>
          <w:p>
            <w:r>
              <w:rPr>
                <w:rFonts w:ascii="Calibri" w:hAnsi="Calibri"/>
                <w:sz w:val="22"/>
              </w:rPr>
              <w:t>Spot rates +40% YoY; tender rejections ~18%; GPPL up 9% sequentially in Q1, expected to improve again in Q2; May GPPL better than seasonal</w:t>
            </w:r>
          </w:p>
        </w:tc>
        <w:tc>
          <w:tcPr>
            <w:tcW w:type="dxa" w:w="1728"/>
          </w:tcPr>
          <w:p>
            <w:r>
              <w:rPr>
                <w:rFonts w:ascii="Calibri" w:hAnsi="Calibri"/>
                <w:sz w:val="22"/>
              </w:rPr>
              <w:t>Strongly positive for NAST gross profit per load in Q2</w:t>
            </w:r>
          </w:p>
        </w:tc>
        <w:tc>
          <w:tcPr>
            <w:tcW w:type="dxa" w:w="1728"/>
          </w:tcPr>
          <w:p>
            <w:r>
              <w:rPr>
                <w:rFonts w:ascii="Calibri" w:hAnsi="Calibri"/>
                <w:b/>
                <w:color w:val="30A46C"/>
                <w:sz w:val="22"/>
              </w:rPr>
              <w:t>POSITIVE</w:t>
            </w:r>
          </w:p>
        </w:tc>
      </w:tr>
    </w:tbl>
    <w:p>
      <w:r>
        <w:rPr>
          <w:rFonts w:ascii="Calibri" w:hAnsi="Calibri"/>
          <w:b/>
          <w:color w:val="525866"/>
          <w:sz w:val="22"/>
        </w:rPr>
        <w:t xml:space="preserve">Limitations &amp; Caveats: </w:t>
      </w:r>
      <w:r>
        <w:rPr>
          <w:rFonts w:ascii="Calibri" w:hAnsi="Calibri"/>
          <w:color w:val="525866"/>
          <w:sz w:val="22"/>
        </w:rPr>
        <w:t>(1) LSTR and WERN are asset-based carriers, not pure brokers — their brokerage margin dynamics may differ from CHRW's pure-play brokerage model. (2) RXO commentary is from June 9 (Wells Fargo Conference) and reflects conditions through late May/early June; June and July data from other peers suggests the environment continued to improve. (3) TFII is primarily a Canadian/specialized truckload carrier; its LTL commentary is less directly comparable to CHRW's NAST LTL business. (4) None of the peer commentary addresses Global Forwarding (ocean/air freight) dynamics, which are driven by different supply/demand factors than domestic truckload. (5) The Dallas jury verdict (July 24) is a CHRW-specific event with no direct peer read-through; the broader Montgomery/broker liability commentary from peers is relevant context but does not predict the specific outcome for CHRW.</w:t>
      </w:r>
    </w:p>
    <w:p>
      <w:r>
        <w:rPr>
          <w:rFonts w:ascii="Calibri" w:hAnsi="Calibri"/>
          <w:b/>
          <w:color w:val="525866"/>
          <w:sz w:val="22"/>
        </w:rPr>
        <w:t xml:space="preserve">Sources: </w:t>
      </w:r>
      <w:r>
        <w:rPr>
          <w:rFonts w:ascii="Calibri" w:hAnsi="Calibri"/>
          <w:color w:val="525866"/>
          <w:sz w:val="22"/>
        </w:rPr>
        <w:t>JBHT Q2 2026 Earnings Call Transcript (July 15, 2026); KNX Q2 2026 Earnings Call Transcript (July 22, 2026); LSTR Q2 2026 Earnings Call Transcript (July 28, 2026); WERN Q2 2026 Earnings Call Transcript (July 28, 2026); TFII Q2 2026 Earnings Call Transcript (July 27, 2026); RXO Wells Fargo Industrials &amp; Materials Conference Transcript (June 9, 2026). All sourced from the Implied financial documents database.</w:t>
      </w:r>
    </w:p>
    <w:p>
      <w:r>
        <w:br w:type="page"/>
      </w:r>
    </w:p>
    <w:p>
      <w:pPr>
        <w:pStyle w:val="Heading2"/>
      </w:pPr>
      <w:r>
        <w:rPr>
          <w:rFonts w:ascii="Calibri" w:hAnsi="Calibri"/>
          <w:b/>
          <w:color w:val="3B4259"/>
          <w:sz w:val="28"/>
        </w:rPr>
        <w:t>Appendix: Valuation Context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CHRW Current</w:t>
            </w:r>
          </w:p>
        </w:tc>
        <w:tc>
          <w:tcPr>
            <w:tcW w:type="dxa" w:w="1728"/>
            <w:shd w:val="clear" w:color="auto" w:fill="3B4259"/>
          </w:tcPr>
          <w:p>
            <w:r>
              <w:rPr>
                <w:rFonts w:ascii="Calibri" w:hAnsi="Calibri"/>
                <w:b/>
                <w:color w:val="FFFFFF"/>
                <w:sz w:val="22"/>
              </w:rPr>
              <w:t>Peer Group Avg (ex-outliers)</w:t>
            </w:r>
          </w:p>
        </w:tc>
        <w:tc>
          <w:tcPr>
            <w:tcW w:type="dxa" w:w="1728"/>
            <w:shd w:val="clear" w:color="auto" w:fill="3B4259"/>
          </w:tcPr>
          <w:p>
            <w:r>
              <w:rPr>
                <w:rFonts w:ascii="Calibri" w:hAnsi="Calibri"/>
                <w:b/>
                <w:color w:val="FFFFFF"/>
                <w:sz w:val="22"/>
              </w:rPr>
              <w:t>CHRW Premium/(Discount)</w:t>
            </w:r>
          </w:p>
        </w:tc>
        <w:tc>
          <w:tcPr>
            <w:tcW w:type="dxa" w:w="1728"/>
            <w:shd w:val="clear" w:color="auto" w:fill="3B4259"/>
          </w:tcPr>
          <w:p>
            <w:r>
              <w:rPr>
                <w:rFonts w:ascii="Calibri" w:hAnsi="Calibri"/>
                <w:b/>
                <w:color w:val="FFFFFF"/>
                <w:sz w:val="22"/>
              </w:rPr>
              <w:t>1-Year Change in Premium</w:t>
            </w:r>
          </w:p>
        </w:tc>
      </w:tr>
      <w:tr>
        <w:tc>
          <w:tcPr>
            <w:tcW w:type="dxa" w:w="1728"/>
          </w:tcPr>
          <w:p>
            <w:r>
              <w:rPr>
                <w:rFonts w:ascii="Calibri" w:hAnsi="Calibri"/>
                <w:sz w:val="22"/>
              </w:rPr>
              <w:t>NTM P/E</w:t>
            </w:r>
          </w:p>
        </w:tc>
        <w:tc>
          <w:tcPr>
            <w:tcW w:type="dxa" w:w="1728"/>
          </w:tcPr>
          <w:p>
            <w:r>
              <w:rPr>
                <w:rFonts w:ascii="Calibri" w:hAnsi="Calibri"/>
                <w:sz w:val="22"/>
              </w:rPr>
              <w:t>25.3x</w:t>
            </w:r>
          </w:p>
        </w:tc>
        <w:tc>
          <w:tcPr>
            <w:tcW w:type="dxa" w:w="1728"/>
          </w:tcPr>
          <w:p>
            <w:r>
              <w:rPr>
                <w:rFonts w:ascii="Calibri" w:hAnsi="Calibri"/>
                <w:sz w:val="22"/>
              </w:rPr>
              <w:t>~21.3x (peer avg)</w:t>
            </w:r>
          </w:p>
        </w:tc>
        <w:tc>
          <w:tcPr>
            <w:tcW w:type="dxa" w:w="1728"/>
          </w:tcPr>
          <w:p>
            <w:r>
              <w:rPr>
                <w:rFonts w:ascii="Calibri" w:hAnsi="Calibri"/>
                <w:sz w:val="22"/>
              </w:rPr>
              <w:t>+19% premium</w:t>
            </w:r>
          </w:p>
        </w:tc>
        <w:tc>
          <w:tcPr>
            <w:tcW w:type="dxa" w:w="1728"/>
          </w:tcPr>
          <w:p>
            <w:r>
              <w:rPr>
                <w:rFonts w:ascii="Calibri" w:hAnsi="Calibri"/>
                <w:sz w:val="22"/>
              </w:rPr>
              <w:t>Was -12% discount 1 year ago; +31pp re-rating</w:t>
            </w:r>
          </w:p>
        </w:tc>
      </w:tr>
      <w:tr>
        <w:tc>
          <w:tcPr>
            <w:tcW w:type="dxa" w:w="1728"/>
          </w:tcPr>
          <w:p>
            <w:r>
              <w:rPr>
                <w:rFonts w:ascii="Calibri" w:hAnsi="Calibri"/>
                <w:sz w:val="22"/>
              </w:rPr>
              <w:t>NTM EV/EBITDA</w:t>
            </w:r>
          </w:p>
        </w:tc>
        <w:tc>
          <w:tcPr>
            <w:tcW w:type="dxa" w:w="1728"/>
          </w:tcPr>
          <w:p>
            <w:r>
              <w:rPr>
                <w:rFonts w:ascii="Calibri" w:hAnsi="Calibri"/>
                <w:sz w:val="22"/>
              </w:rPr>
              <w:t>18.7x</w:t>
            </w:r>
          </w:p>
        </w:tc>
        <w:tc>
          <w:tcPr>
            <w:tcW w:type="dxa" w:w="1728"/>
          </w:tcPr>
          <w:p>
            <w:r>
              <w:rPr>
                <w:rFonts w:ascii="Calibri" w:hAnsi="Calibri"/>
                <w:sz w:val="22"/>
              </w:rPr>
              <w:t>N/A (peer avg not computed)</w:t>
            </w:r>
          </w:p>
        </w:tc>
        <w:tc>
          <w:tcPr>
            <w:tcW w:type="dxa" w:w="1728"/>
          </w:tcPr>
          <w:p>
            <w:r>
              <w:rPr>
                <w:rFonts w:ascii="Calibri" w:hAnsi="Calibri"/>
                <w:sz w:val="22"/>
              </w:rPr>
              <w:t>N/A</w:t>
            </w:r>
          </w:p>
        </w:tc>
        <w:tc>
          <w:tcPr>
            <w:tcW w:type="dxa" w:w="1728"/>
          </w:tcPr>
          <w:p>
            <w:r>
              <w:rPr>
                <w:rFonts w:ascii="Calibri" w:hAnsi="Calibri"/>
                <w:sz w:val="22"/>
              </w:rPr>
              <w:t>-9.5% vs. 6 months ago (multiple compressed)</w:t>
            </w:r>
          </w:p>
        </w:tc>
      </w:tr>
      <w:tr>
        <w:tc>
          <w:tcPr>
            <w:tcW w:type="dxa" w:w="1728"/>
          </w:tcPr>
          <w:p>
            <w:r>
              <w:rPr>
                <w:rFonts w:ascii="Calibri" w:hAnsi="Calibri"/>
                <w:sz w:val="22"/>
              </w:rPr>
              <w:t>NTM EV/Sales</w:t>
            </w:r>
          </w:p>
        </w:tc>
        <w:tc>
          <w:tcPr>
            <w:tcW w:type="dxa" w:w="1728"/>
          </w:tcPr>
          <w:p>
            <w:r>
              <w:rPr>
                <w:rFonts w:ascii="Calibri" w:hAnsi="Calibri"/>
                <w:sz w:val="22"/>
              </w:rPr>
              <w:t>1.22x</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+64.9% vs. 1 year ago (driven by earnings growth + multiple expansion)</w:t>
            </w:r>
          </w:p>
        </w:tc>
      </w:tr>
      <w:tr>
        <w:tc>
          <w:tcPr>
            <w:tcW w:type="dxa" w:w="1728"/>
          </w:tcPr>
          <w:p>
            <w:r>
              <w:rPr>
                <w:rFonts w:ascii="Calibri" w:hAnsi="Calibri"/>
                <w:sz w:val="22"/>
              </w:rPr>
              <w:t>NTM P/FCF</w:t>
            </w:r>
          </w:p>
        </w:tc>
        <w:tc>
          <w:tcPr>
            <w:tcW w:type="dxa" w:w="1728"/>
          </w:tcPr>
          <w:p>
            <w:r>
              <w:rPr>
                <w:rFonts w:ascii="Calibri" w:hAnsi="Calibri"/>
                <w:sz w:val="22"/>
              </w:rPr>
              <w:t>25.0x</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-10.9% vs. 6 months ago</w:t>
            </w:r>
          </w:p>
        </w:tc>
      </w:tr>
    </w:tbl>
    <w:p>
      <w:r>
        <w:rPr>
          <w:rFonts w:ascii="Calibri" w:hAnsi="Calibri"/>
          <w:b/>
          <w:color w:val="525866"/>
          <w:sz w:val="22"/>
        </w:rPr>
        <w:t xml:space="preserve">Source: </w:t>
      </w:r>
      <w:r>
        <w:rPr>
          <w:rFonts w:ascii="Calibri" w:hAnsi="Calibri"/>
          <w:color w:val="525866"/>
          <w:sz w:val="22"/>
        </w:rPr>
        <w:t>Implied platform valuation decomposition data (as of July 28, 2026). Peer group: UPS, FDX, JBHT, EXPD, LSTR, GXO, HUBG (CYRX and FWRD excluded as outliers). CHRW's 12-month re-rating from a ~12% P/E discount to a ~19% premium reflects the market's recognition of the Lean AI transformation and structural margin improvement. The recent multiple compression (NTM EV/EBITDA -9.5% over 3 months) is primarily attributable to the Dallas verdict disclosure and associated sentiment reset.</w:t>
      </w:r>
    </w:p>
    <w:p>
      <w:r>
        <w:rPr>
          <w:rFonts w:ascii="Calibri" w:hAnsi="Calibri"/>
          <w:b/>
          <w:color w:val="525866"/>
          <w:sz w:val="22"/>
        </w:rPr>
        <w:t xml:space="preserve">Disclaimer: </w:t>
      </w:r>
      <w:r>
        <w:rPr>
          <w:rFonts w:ascii="Calibri" w:hAnsi="Calibri"/>
          <w:color w:val="525866"/>
          <w:sz w:val="22"/>
        </w:rPr>
        <w:t>This earnings preview is prepared for informational purposes only. All consensus estimates are sourced from Visible Alpha as of July 28, 2026. Peer commentary is sourced from publicly available earnings call transcripts and conference presentations. The $604M Dallas jury verdict is an advisory verdict only; it is not final and is subject to post-trial proceedings and appeal. This document does not constitute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