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i-earnings-predictions--2026-07-30"/>
    <w:p>
      <w:pPr>
        <w:pStyle w:val="Heading1"/>
      </w:pPr>
      <w:r>
        <w:t xml:space="preserve">CI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~$7.75 vs. cons $7.59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71.5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70.5B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Cigna Healthcare MCR (higher=worse)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~85.3% vs. cons ~85.0%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~≥</w:t>
            </w:r>
            <m:oMath>
              <m:r>
                <m:t>30.35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30.55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Cigna Healthcare MCR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83.7–84.7% vs. cons ~84.5% (FY2026); Q2 step-up above high end pre-flagged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Evernorth FY26 pretax adj. income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~≥</w:t>
            </w:r>
            <m:oMath>
              <m:r>
                <m:t>6.9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6.9B (FY2026); specialty strong, PBS drag persists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eviCore strategic review / ACA exit update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n/a vs. cons n/a (2H2026 catalyst); no deal assumed in numbers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Likely EPS/revenue beat but FY guide only reaffirmed (~≥</w:t>
            </w:r>
            <m:oMath>
              <m:r>
                <m:t>30.35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t>o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rPr>
                  <m:sty m:val="p"/>
                </m:rPr>
                <m:t>)</m:t>
              </m:r>
              <m:r>
                <m:t>i</m:t>
              </m:r>
              <m:r>
                <m:t>n</m:t>
              </m:r>
              <m:sSup>
                <m:e>
                  <m:r>
                    <m:t>a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p</m:t>
              </m:r>
              <m:r>
                <m:t>r</m:t>
              </m:r>
              <m:r>
                <m:t>o</m:t>
              </m:r>
              <m:r>
                <m:t>v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i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h</m:t>
              </m:r>
              <m:r>
                <m:t>e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i</m:t>
              </m:r>
              <m:sSup>
                <m:e>
                  <m:r>
                    <m:t>t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t</m:t>
              </m:r>
              <m:r>
                <m:t>a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—</m:t>
              </m:r>
              <m:r>
                <m:t>t</m:t>
              </m:r>
              <m:r>
                <m:t>h</m:t>
              </m:r>
              <m:r>
                <m:t>e</m:t>
              </m:r>
              <m:r>
                <m:t>e</m:t>
              </m:r>
              <m:r>
                <m:t>x</m:t>
              </m:r>
              <m:r>
                <m:t>a</m:t>
              </m:r>
              <m:r>
                <m:t>c</m:t>
              </m:r>
              <m:r>
                <m:t>t</m:t>
              </m:r>
              <m:r>
                <m:t>H</m:t>
              </m:r>
              <m:r>
                <m:t>u</m:t>
              </m:r>
              <m:r>
                <m:t>m</m:t>
              </m:r>
              <m:r>
                <m:t>a</m:t>
              </m:r>
              <m:r>
                <m:t>n</m:t>
              </m:r>
              <m:r>
                <m:t>a</m:t>
              </m:r>
              <m:r>
                <m:t>t</m:t>
              </m:r>
              <m:r>
                <m:t>e</m:t>
              </m:r>
              <m:r>
                <m:t>m</m:t>
              </m:r>
              <m:r>
                <m:t>p</m:t>
              </m:r>
              <m:r>
                <m:t>l</m:t>
              </m:r>
              <m:r>
                <m:t>a</m:t>
              </m:r>
              <m:r>
                <m:t>t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7</m:t>
              </m:r>
              <m:r>
                <m:rPr>
                  <m:sty m:val="p"/>
                </m:rPr>
                <m:t>/</m:t>
              </m:r>
              <m:r>
                <m:t>29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,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≥</m:t>
              </m:r>
            </m:oMath>
            <w:r>
              <w:t xml:space="preserve">9 guide, stock −6%). CI already fell ~1.5% in sympathy on 7/29. Q2 MCR steps above the 84.7% high end and H2 carries PBS/Signature investment spend plus a steeper seasonal MCR curve, so out-period math skews estimates lower even after the beat; Part D subsidy expiry (2027) adds policy overhang. Lower MA exposure and specialty momentum cap downside but do not reverse it, so the negative day-1 reaction drifts further as forward numbers get trimmed.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2026-07-29T20:25:49Z</dcterms:created>
  <dcterms:modified xsi:type="dcterms:W3CDTF">2026-07-29T20:25:49Z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