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CI (The Cigna Group) before writing the preview. Let me gather recent earnings materials, filings, and news.I'll read the most recent earnings materials and get news/price context.Let me get stock price context, sector/managed care news, and the year-ago Q2 2025 quarter for comparison.Let me get analyst consensus expectations and any recent CI-specific news.# The Cigna Group (CI) — Q2 2026 Earnings Preview</w:t>
      </w:r>
    </w:p>
    <w:bookmarkStart w:id="9" w:name="X7efad1902ac4a3426bc8fb2c57d4929c8f11821"/>
    <w:p>
      <w:pPr>
        <w:pStyle w:val="Heading3"/>
      </w:pPr>
      <w:r>
        <w:t xml:space="preserve">Reports Thursday, July 30, 2026 (before market open) · 2026Q2 Earnings Call</w:t>
      </w:r>
    </w:p>
    <w:p>
      <w:r>
        <w:pict>
          <v:rect style="width:0;height:1.5pt" o:hralign="center" o:hrstd="t" o:hr="t"/>
        </w:pict>
      </w:r>
    </w:p>
    <w:bookmarkEnd w:id="9"/>
    <w:bookmarkStart w:id="10" w:name="Xccd0cd2a1e9c6ef2f2c7097f8f85f850d452fe8"/>
    <w:p>
      <w:pPr>
        <w:pStyle w:val="Heading2"/>
      </w:pPr>
      <w:r>
        <w:t xml:space="preserve">1. The Setup</w:t>
      </w:r>
    </w:p>
    <w:p>
      <w:pPr>
        <w:pStyle w:val="FirstParagraph"/>
      </w:pPr>
      <w:r>
        <w:t xml:space="preserve">Cigna reports its June-quarter results Thursday morning, and this is a notable one: it will be the</w:t>
      </w:r>
      <w:r>
        <w:t xml:space="preserve"> </w:t>
      </w:r>
      <w:r>
        <w:rPr>
          <w:b/>
          <w:bCs/>
        </w:rPr>
        <w:t xml:space="preserve">first full quarter with Brian Evanko as CEO</w:t>
      </w:r>
      <w:r>
        <w:t xml:space="preserve"> </w:t>
      </w:r>
      <w:r>
        <w:t xml:space="preserve">(he stepped up July 1) and David Cordani in the newly created Executive Chair role. Ann Dennison remains CFO. Expect analysts to probe whether the strategy, capital-allocation framework, and guidance philosophy carry forward unchanged — Evanko has signaled continuity with a few areas of "intensification" (data/AI, lower-cost care, moving upstream into prevention).</w:t>
      </w:r>
    </w:p>
    <w:p>
      <w:pPr>
        <w:pStyle w:val="BodyText"/>
      </w:pPr>
      <w:r>
        <w:rPr>
          <w:b/>
          <w:bCs/>
        </w:rPr>
        <w:t xml:space="preserve">Consensus expectations (Street):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Adjusted EPS: ~</w:t>
      </w:r>
      <m:oMath>
        <m:r>
          <m:t>7.58</m:t>
        </m:r>
        <m:r>
          <m:rPr>
            <m:sty m:val="p"/>
          </m:rPr>
          <m:t>–</m:t>
        </m:r>
      </m:oMath>
      <w:r>
        <w:rPr>
          <w:b/>
          <w:bCs/>
        </w:rPr>
        <w:t xml:space="preserve">7.60</w:t>
      </w:r>
      <w:r>
        <w:t xml:space="preserve">, up roughly</w:t>
      </w:r>
      <w:r>
        <w:t xml:space="preserve"> </w:t>
      </w:r>
      <w:r>
        <w:rPr>
          <w:b/>
          <w:bCs/>
        </w:rPr>
        <w:t xml:space="preserve">5–6% YoY</w:t>
      </w:r>
      <w:r>
        <w:t xml:space="preserve"> </w:t>
      </w:r>
      <w:r>
        <w:t xml:space="preserve">from $7.20 in Q2 2025.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Revenue: ~$70–71 billion</w:t>
      </w:r>
      <w:r>
        <w:t xml:space="preserve">, up roughly 4.5–6% YoY from $67.2B.</w:t>
      </w:r>
    </w:p>
    <w:p>
      <w:pPr>
        <w:pStyle w:val="Compact"/>
        <w:numPr>
          <w:ilvl w:val="0"/>
          <w:numId w:val="1001"/>
        </w:numPr>
      </w:pPr>
      <w:r>
        <w:t xml:space="preserve">Cigna has</w:t>
      </w:r>
      <w:r>
        <w:t xml:space="preserve"> </w:t>
      </w:r>
      <w:r>
        <w:rPr>
          <w:b/>
          <w:bCs/>
        </w:rPr>
        <w:t xml:space="preserve">beaten the bottom-line consensus in each of the last four quarters</w:t>
      </w:r>
      <w:r>
        <w:t xml:space="preserve">, most recently in Q1 2026 (</w:t>
      </w:r>
      <m:oMath>
        <m:r>
          <m:t>7.79</m:t>
        </m:r>
        <m:r>
          <m:t>a</m:t>
        </m:r>
        <m:r>
          <m:t>c</m:t>
        </m:r>
        <m:r>
          <m:t>t</m:t>
        </m:r>
        <m:r>
          <m:t>u</m:t>
        </m:r>
        <m:r>
          <m:t>a</m:t>
        </m:r>
        <m:r>
          <m:t>l</m:t>
        </m:r>
        <m:r>
          <m:t>v</m:t>
        </m:r>
        <m:r>
          <m:t>s</m:t>
        </m:r>
        <m:r>
          <m:rPr>
            <m:sty m:val="p"/>
          </m:rPr>
          <m:t>.</m:t>
        </m:r>
        <m:r>
          <m:t> </m:t>
        </m:r>
      </m:oMath>
      <w:r>
        <w:t xml:space="preserve">7.60 expected).</w:t>
      </w:r>
    </w:p>
    <w:p>
      <w:pPr>
        <w:pStyle w:val="FirstParagraph"/>
      </w:pPr>
      <w:r>
        <w:rPr>
          <w:b/>
          <w:bCs/>
        </w:rPr>
        <w:t xml:space="preserve">Management's own roadmap for the quarter</w:t>
      </w:r>
      <w:r>
        <w:t xml:space="preserve"> </w:t>
      </w:r>
      <w:r>
        <w:t xml:space="preserve">(given on the Q1 call) is the most important anchor: they guided</w:t>
      </w:r>
      <w:r>
        <w:t xml:space="preserve"> </w:t>
      </w:r>
      <w:r>
        <w:rPr>
          <w:b/>
          <w:bCs/>
        </w:rPr>
        <w:t xml:space="preserve">Q2 adjusted EPS to ~25% of the full-year ≥</w:t>
      </w:r>
      <m:oMath>
        <m:r>
          <m:t>30.35</m:t>
        </m:r>
        <m:r>
          <m:t>o</m:t>
        </m:r>
        <m:r>
          <m:t>u</m:t>
        </m:r>
        <m:r>
          <m:t>t</m:t>
        </m:r>
        <m:r>
          <m:t>l</m:t>
        </m:r>
        <m:r>
          <m:t>o</m:t>
        </m:r>
        <m:r>
          <m:t>o</m:t>
        </m:r>
        <m:r>
          <m:t>k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w</m:t>
        </m:r>
        <m:r>
          <m:t>h</m:t>
        </m:r>
        <m:r>
          <m:t>i</m:t>
        </m:r>
        <m:r>
          <m:t>c</m:t>
        </m:r>
        <m:r>
          <m:t>h</m:t>
        </m:r>
        <m:r>
          <m:t>p</m:t>
        </m:r>
        <m:r>
          <m:t>e</m:t>
        </m:r>
        <m:r>
          <m:t>n</m:t>
        </m:r>
        <m:r>
          <m:t>c</m:t>
        </m:r>
        <m:r>
          <m:t>i</m:t>
        </m:r>
        <m:r>
          <m:t>l</m:t>
        </m:r>
        <m:r>
          <m:t>s</m:t>
        </m:r>
        <m:r>
          <m:t>o</m:t>
        </m:r>
        <m:r>
          <m:t>u</m:t>
        </m:r>
        <m:r>
          <m:t>t</m:t>
        </m:r>
        <m:r>
          <m:t>t</m:t>
        </m:r>
        <m:r>
          <m:t>o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7.59</w:t>
      </w:r>
      <w:r>
        <w:t xml:space="preserve"> </w:t>
      </w:r>
      <w:r>
        <w:t xml:space="preserve">— essentially right on consensus. So the "beat" bar is modest; the debate is really about</w:t>
      </w:r>
      <w:r>
        <w:t xml:space="preserve"> </w:t>
      </w:r>
      <w:r>
        <w:rPr>
          <w:b/>
          <w:bCs/>
        </w:rPr>
        <w:t xml:space="preserve">guidance and medical-cost trend</w:t>
      </w:r>
      <w:r>
        <w:t xml:space="preserve">, not the printed number.</w:t>
      </w:r>
    </w:p>
    <w:p>
      <w:r>
        <w:pict>
          <v:rect style="width:0;height:1.5pt" o:hralign="center" o:hrstd="t" o:hr="t"/>
        </w:pict>
      </w:r>
    </w:p>
    <w:bookmarkEnd w:id="10"/>
    <w:bookmarkStart w:id="11" w:name="Xd2004062a03077e6bf2e301de30646dd4edc72d"/>
    <w:p>
      <w:pPr>
        <w:pStyle w:val="Heading2"/>
      </w:pPr>
      <w:r>
        <w:t xml:space="preserve">2. What Actually Matters: The Medical Care Ratio</w:t>
      </w:r>
    </w:p>
    <w:p>
      <w:pPr>
        <w:pStyle w:val="FirstParagraph"/>
      </w:pPr>
      <w:r>
        <w:t xml:space="preserve">This is the single most-watched line, and management has pre-conditioned the Street for a</w:t>
      </w:r>
      <w:r>
        <w:t xml:space="preserve"> </w:t>
      </w:r>
      <w:r>
        <w:rPr>
          <w:b/>
          <w:bCs/>
        </w:rPr>
        <w:t xml:space="preserve">higher Q2 MCR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t xml:space="preserve">Full-year 2026 MCR guidance:</w:t>
      </w:r>
      <w:r>
        <w:t xml:space="preserve"> </w:t>
      </w:r>
      <w:r>
        <w:rPr>
          <w:b/>
          <w:bCs/>
        </w:rPr>
        <w:t xml:space="preserve">83.7%–84.7%</w:t>
      </w:r>
      <w:r>
        <w:t xml:space="preserve"> </w:t>
      </w:r>
      <w:r>
        <w:t xml:space="preserve">(unchanged after Q1).</w:t>
      </w:r>
    </w:p>
    <w:p>
      <w:pPr>
        <w:pStyle w:val="Compact"/>
        <w:numPr>
          <w:ilvl w:val="0"/>
          <w:numId w:val="1002"/>
        </w:numPr>
      </w:pPr>
      <w:r>
        <w:t xml:space="preserve">Q1 came in at a very strong</w:t>
      </w:r>
      <w:r>
        <w:t xml:space="preserve"> </w:t>
      </w:r>
      <w:r>
        <w:rPr>
          <w:b/>
          <w:bCs/>
        </w:rPr>
        <w:t xml:space="preserve">79.8%</w:t>
      </w:r>
      <w:r>
        <w:t xml:space="preserve"> </w:t>
      </w:r>
      <w:r>
        <w:t xml:space="preserve">(helped by light flu, weather-related care deferrals, and a favorable bronze-plan mix on the exchanges).</w:t>
      </w:r>
    </w:p>
    <w:p>
      <w:pPr>
        <w:pStyle w:val="Compact"/>
        <w:numPr>
          <w:ilvl w:val="0"/>
          <w:numId w:val="1002"/>
        </w:numPr>
      </w:pPr>
      <w:r>
        <w:t xml:space="preserve">Management explicitly guided</w:t>
      </w:r>
      <w:r>
        <w:t xml:space="preserve"> </w:t>
      </w:r>
      <w:r>
        <w:rPr>
          <w:b/>
          <w:bCs/>
        </w:rPr>
        <w:t xml:space="preserve">Q2 MCR to be slightly ABOVE the high end (i.e., &gt;84.7%)</w:t>
      </w:r>
      <w:r>
        <w:t xml:space="preserve">, driven by (a) normal seasonality, (b) a</w:t>
      </w:r>
      <w:r>
        <w:t xml:space="preserve"> </w:t>
      </w:r>
      <w:r>
        <w:rPr>
          <w:i/>
          <w:iCs/>
        </w:rPr>
        <w:t xml:space="preserve">steeper</w:t>
      </w:r>
      <w:r>
        <w:t xml:space="preserve"> </w:t>
      </w:r>
      <w:r>
        <w:t xml:space="preserve">seasonal curve this year because the divested Medicare book used to flatten it, and (c) the bronze-heavy individual mix that front-loads margin.</w:t>
      </w:r>
    </w:p>
    <w:p>
      <w:pPr>
        <w:pStyle w:val="FirstParagraph"/>
      </w:pPr>
      <w:r>
        <w:rPr>
          <w:b/>
          <w:bCs/>
        </w:rPr>
        <w:t xml:space="preserve">Key point:</w:t>
      </w:r>
      <w:r>
        <w:t xml:space="preserve"> </w:t>
      </w:r>
      <w:r>
        <w:t xml:space="preserve">a Q2 MCR of ~85% is</w:t>
      </w:r>
      <w:r>
        <w:t xml:space="preserve"> </w:t>
      </w:r>
      <w:r>
        <w:rPr>
          <w:i/>
          <w:iCs/>
        </w:rPr>
        <w:t xml:space="preserve">expected and pre-communicated</w:t>
      </w:r>
      <w:r>
        <w:t xml:space="preserve">. The market reaction will hinge on whether the underlying trend is merely "elevated but stable" (management's framing — they say cost trend has</w:t>
      </w:r>
      <w:r>
        <w:t xml:space="preserve"> </w:t>
      </w:r>
      <w:r>
        <w:rPr>
          <w:b/>
          <w:bCs/>
        </w:rPr>
        <w:t xml:space="preserve">not accelerated</w:t>
      </w:r>
      <w:r>
        <w:t xml:space="preserve">) versus any sign of genuine deterioration. Cigna has less direct exposure to the Medicare Advantage cost problems that have plagued peers, but sentiment is fragile.</w:t>
      </w:r>
    </w:p>
    <w:p>
      <w:pPr>
        <w:pStyle w:val="BodyText"/>
      </w:pPr>
      <w:r>
        <w:rPr>
          <w:b/>
          <w:bCs/>
        </w:rPr>
        <w:t xml:space="preserve">Sector read-through is critical this week:</w:t>
      </w:r>
      <w:r>
        <w:t xml:space="preserve"> </w:t>
      </w:r>
      <w:r>
        <w:t xml:space="preserve">Humana reported the day before (7/29) — it beat on EPS but **held its ≥</w:t>
      </w:r>
      <m:oMath>
        <m:r>
          <m:t>9</m:t>
        </m:r>
        <m:r>
          <m:t>f</m:t>
        </m:r>
        <m:r>
          <m:t>u</m:t>
        </m:r>
        <m:r>
          <m:t>l</m:t>
        </m:r>
        <m:r>
          <m:t>l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o</m:t>
        </m:r>
        <m:r>
          <m:t>u</m:t>
        </m:r>
        <m:r>
          <m:t>t</m:t>
        </m:r>
        <m:r>
          <m:t>l</m:t>
        </m:r>
        <m:r>
          <m:t>o</m:t>
        </m:r>
        <m:r>
          <m:t>o</m:t>
        </m:r>
        <m:r>
          <m:t>k</m:t>
        </m:r>
        <m:r>
          <m:t>u</m:t>
        </m:r>
        <m:r>
          <m:t>n</m:t>
        </m:r>
        <m:r>
          <m:t>c</m:t>
        </m:r>
        <m:r>
          <m:t>h</m:t>
        </m:r>
        <m:r>
          <m:t>a</m:t>
        </m:r>
        <m:r>
          <m:t>n</m:t>
        </m:r>
        <m:r>
          <m:t>g</m:t>
        </m:r>
        <m:r>
          <m:t>e</m:t>
        </m:r>
        <m:r>
          <m:t>d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t</m:t>
        </m:r>
        <m:r>
          <m:t>h</m:t>
        </m:r>
        <m:r>
          <m:t>e</m:t>
        </m:r>
        <m:r>
          <m:t>s</m:t>
        </m:r>
        <m:r>
          <m:t>t</m:t>
        </m:r>
        <m:r>
          <m:t>o</m:t>
        </m:r>
        <m:r>
          <m:t>c</m:t>
        </m:r>
        <m:r>
          <m:t>k</m:t>
        </m:r>
        <m:r>
          <m:t>f</m:t>
        </m:r>
        <m:r>
          <m:t>e</m:t>
        </m:r>
        <m:r>
          <m:t>l</m:t>
        </m:r>
        <m:r>
          <m:t>l</m:t>
        </m:r>
        <m:r>
          <m:t> </m:t>
        </m:r>
        <m:r>
          <m:t>4</m:t>
        </m:r>
      </m:oMath>
      <w:r>
        <w:t xml:space="preserve">30.35 in Q1, another raise (or lack of one) will set the tone.</w:t>
      </w:r>
    </w:p>
    <w:p>
      <w:r>
        <w:pict>
          <v:rect style="width:0;height:1.5pt" o:hralign="center" o:hrstd="t" o:hr="t"/>
        </w:pict>
      </w:r>
    </w:p>
    <w:bookmarkEnd w:id="11"/>
    <w:bookmarkStart w:id="12" w:name="Xaed64807af963ef4a0465033a86b6b54ca66a96"/>
    <w:p>
      <w:pPr>
        <w:pStyle w:val="Heading2"/>
      </w:pPr>
      <w:r>
        <w:t xml:space="preserve">3. Segment Watch Items</w:t>
      </w:r>
    </w:p>
    <w:p>
      <w:pPr>
        <w:pStyle w:val="FirstParagraph"/>
      </w:pPr>
      <w:r>
        <w:rPr>
          <w:b/>
          <w:bCs/>
        </w:rPr>
        <w:t xml:space="preserve">Evernorth Health Services (the growth engine, ~60% of profit)</w:t>
      </w:r>
      <w:r>
        <w:t xml:space="preserve"> </w:t>
      </w:r>
      <w:r>
        <w:t xml:space="preserve">— FY guide:</w:t>
      </w:r>
      <w:r>
        <w:t xml:space="preserve"> </w:t>
      </w:r>
      <w:r>
        <w:rPr>
          <w:b/>
          <w:bCs/>
        </w:rPr>
        <w:t xml:space="preserve">≥$6.9B pretax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Specialty &amp; Care Services</w:t>
      </w:r>
      <w:r>
        <w:t xml:space="preserve"> </w:t>
      </w:r>
      <w:r>
        <w:t xml:space="preserve">is the star: pretax earnings</w:t>
      </w:r>
      <w:r>
        <w:t xml:space="preserve"> </w:t>
      </w:r>
      <w:r>
        <w:rPr>
          <w:b/>
          <w:bCs/>
        </w:rPr>
        <w:t xml:space="preserve">+20% YoY in Q1</w:t>
      </w:r>
      <w:r>
        <w:t xml:space="preserve"> </w:t>
      </w:r>
      <w:r>
        <w:t xml:space="preserve">on strong specialty volumes, biosimilar/specialty-generic adoption (Humira and Stelara $0-out-of-pocket programs, generic Revlimid as supply eases), plus the</w:t>
      </w:r>
      <w:r>
        <w:t xml:space="preserve"> </w:t>
      </w:r>
      <w:r>
        <w:rPr>
          <w:b/>
          <w:bCs/>
        </w:rPr>
        <w:t xml:space="preserve">Shields Health Solutions</w:t>
      </w:r>
      <w:r>
        <w:t xml:space="preserve"> </w:t>
      </w:r>
      <w:r>
        <w:t xml:space="preserve">investment contribution. Watch for continued high-end-of-range growth and any lift in the Shields/CarePathRx contribution.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Pharmacy Benefit Services</w:t>
      </w:r>
      <w:r>
        <w:t xml:space="preserve"> </w:t>
      </w:r>
      <w:r>
        <w:t xml:space="preserve">is the drag investors have accepted: pretax earnings</w:t>
      </w:r>
      <w:r>
        <w:t xml:space="preserve"> </w:t>
      </w:r>
      <w:r>
        <w:rPr>
          <w:b/>
          <w:bCs/>
        </w:rPr>
        <w:t xml:space="preserve">-28% (~$150M) in Q1</w:t>
      </w:r>
      <w:r>
        <w:t xml:space="preserve"> </w:t>
      </w:r>
      <w:r>
        <w:t xml:space="preserve">on large-client renewals/extensions and investment spend for the new</w:t>
      </w:r>
      <w:r>
        <w:t xml:space="preserve"> </w:t>
      </w:r>
      <w:r>
        <w:rPr>
          <w:b/>
          <w:bCs/>
        </w:rPr>
        <w:t xml:space="preserve">rebate-free "Signature" model</w:t>
      </w:r>
      <w:r>
        <w:t xml:space="preserve">. Management flagged that Signature investment spend is</w:t>
      </w:r>
      <w:r>
        <w:t xml:space="preserve"> </w:t>
      </w:r>
      <w:r>
        <w:rPr>
          <w:b/>
          <w:bCs/>
        </w:rPr>
        <w:t xml:space="preserve">weighted to the back half</w:t>
      </w:r>
      <w:r>
        <w:t xml:space="preserve">, so the YoY PBS decline should persist. Watch the</w:t>
      </w:r>
      <w:r>
        <w:t xml:space="preserve"> </w:t>
      </w:r>
      <w:r>
        <w:rPr>
          <w:b/>
          <w:bCs/>
        </w:rPr>
        <w:t xml:space="preserve">2027 selling-season commentary and retention</w:t>
      </w:r>
      <w:r>
        <w:t xml:space="preserve"> </w:t>
      </w:r>
      <w:r>
        <w:t xml:space="preserve">(they targeted mid-90s%+; ended 2026 at 97%+) — that's the tell on whether the model transition is dilutive to the client base.</w:t>
      </w:r>
    </w:p>
    <w:p>
      <w:pPr>
        <w:pStyle w:val="FirstParagraph"/>
      </w:pPr>
      <w:r>
        <w:rPr>
          <w:b/>
          <w:bCs/>
        </w:rPr>
        <w:t xml:space="preserve">Cigna Healthcare (~40% of profit)</w:t>
      </w:r>
      <w:r>
        <w:t xml:space="preserve"> </w:t>
      </w:r>
      <w:r>
        <w:t xml:space="preserve">— FY guide:</w:t>
      </w:r>
      <w:r>
        <w:t xml:space="preserve"> </w:t>
      </w:r>
      <w:r>
        <w:rPr>
          <w:b/>
          <w:bCs/>
        </w:rPr>
        <w:t xml:space="preserve">≥$4.525B pretax</w:t>
      </w:r>
      <w:r>
        <w:t xml:space="preserve">, with first-half earnings running</w:t>
      </w:r>
      <w:r>
        <w:t xml:space="preserve"> </w:t>
      </w:r>
      <w:r>
        <w:rPr>
          <w:b/>
          <w:bCs/>
        </w:rPr>
        <w:t xml:space="preserve">slightly above 60% of the full year</w:t>
      </w:r>
      <w:r>
        <w:t xml:space="preserve"> </w:t>
      </w:r>
      <w:r>
        <w:t xml:space="preserve">(i.e., expect a stronger 1H, weaker 2H by design).</w:t>
      </w:r>
    </w:p>
    <w:p>
      <w:pPr>
        <w:pStyle w:val="Compact"/>
        <w:numPr>
          <w:ilvl w:val="0"/>
          <w:numId w:val="1004"/>
        </w:numPr>
      </w:pPr>
      <w:r>
        <w:t xml:space="preserve">Q1 was very strong (+18% YoY pretax) on U.S. Employer and Individual margin. Look for</w:t>
      </w:r>
      <w:r>
        <w:t xml:space="preserve"> </w:t>
      </w:r>
      <w:r>
        <w:rPr>
          <w:b/>
          <w:bCs/>
        </w:rPr>
        <w:t xml:space="preserve">commercial membership/persistency, rate adequacy, and stop-loss</w:t>
      </w:r>
      <w:r>
        <w:t xml:space="preserve"> </w:t>
      </w:r>
      <w:r>
        <w:t xml:space="preserve">commentary. Prior-year reserve development (favorable ~$188M in Q1) is worth monitoring for reserve quality.</w:t>
      </w:r>
    </w:p>
    <w:p>
      <w:r>
        <w:pict>
          <v:rect style="width:0;height:1.5pt" o:hralign="center" o:hrstd="t" o:hr="t"/>
        </w:pict>
      </w:r>
    </w:p>
    <w:bookmarkEnd w:id="12"/>
    <w:bookmarkStart w:id="13" w:name="Xdafeeb1fae93fb0e60bec5bc801e6dd58120928"/>
    <w:p>
      <w:pPr>
        <w:pStyle w:val="Heading2"/>
      </w:pPr>
      <w:r>
        <w:t xml:space="preserve">4. Portfolio Reshaping — Look for Updates</w:t>
      </w:r>
    </w:p>
    <w:p>
      <w:pPr>
        <w:pStyle w:val="FirstParagraph"/>
      </w:pPr>
      <w:r>
        <w:t xml:space="preserve">At Q1, Cigna announced two proactive moves. Any progress here could move the stock: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Exiting the individual exchange (ACA) business at year-end 2026</w:t>
      </w:r>
      <w:r>
        <w:t xml:space="preserve"> </w:t>
      </w:r>
      <w:r>
        <w:t xml:space="preserve">— supporting members through 2027 open enrollment. This frees modest capital and removes a small, sub-scale business. (Note: broader ACA subsidy/policy noise is a tailwind risk they're stepping away from.)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Strategic review of eviCore</w:t>
      </w:r>
      <w:r>
        <w:t xml:space="preserve"> </w:t>
      </w:r>
      <w:r>
        <w:t xml:space="preserve">(prior-authorization / utilization management) — could result in a partnership or combination.</w:t>
      </w:r>
      <w:r>
        <w:t xml:space="preserve"> </w:t>
      </w:r>
      <w:r>
        <w:rPr>
          <w:b/>
          <w:bCs/>
        </w:rPr>
        <w:t xml:space="preserve">No transaction was in hand as of April</w:t>
      </w:r>
      <w:r>
        <w:t xml:space="preserve">, so any update is possible incremental news.</w:t>
      </w:r>
    </w:p>
    <w:p>
      <w:pPr>
        <w:pStyle w:val="FirstParagraph"/>
      </w:pPr>
      <w:r>
        <w:t xml:space="preserve">These fit a long track record of portfolio discipline (group life/disability sale, the March 2025 Medicare/HCSC divestiture). The strategic message: concentrate capital on</w:t>
      </w:r>
      <w:r>
        <w:t xml:space="preserve"> </w:t>
      </w:r>
      <w:r>
        <w:rPr>
          <w:b/>
          <w:bCs/>
        </w:rPr>
        <w:t xml:space="preserve">Specialty &amp; Care, PBS, and the flagship U.S. Employer</w:t>
      </w:r>
      <w:r>
        <w:t xml:space="preserve"> </w:t>
      </w:r>
      <w:r>
        <w:t xml:space="preserve">platform.</w:t>
      </w:r>
    </w:p>
    <w:p>
      <w:r>
        <w:pict>
          <v:rect style="width:0;height:1.5pt" o:hralign="center" o:hrstd="t" o:hr="t"/>
        </w:pict>
      </w:r>
    </w:p>
    <w:bookmarkEnd w:id="13"/>
    <w:bookmarkStart w:id="14" w:name="Xc643ff28016f6536cd3209ba101e99b9351622b"/>
    <w:p>
      <w:pPr>
        <w:pStyle w:val="Heading2"/>
      </w:pPr>
      <w:r>
        <w:t xml:space="preserve">5. Capital, Balance Sheet &amp; the September Investor Day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Buybacks</w:t>
      </w:r>
      <w:r>
        <w:t xml:space="preserve"> </w:t>
      </w:r>
      <w:r>
        <w:t xml:space="preserve">are a core EPS lever — weighted-average shares fell from ~273M (Q2'25) toward ~264M (Q1'26). The full-year EPS guide already assumes future repurchases; watch pace and any updated authorization.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Debt-to-cap was 42.3%</w:t>
      </w:r>
      <w:r>
        <w:t xml:space="preserve"> </w:t>
      </w:r>
      <w:r>
        <w:t xml:space="preserve">at 3/31 and management expects it lower by year-end;</w:t>
      </w:r>
      <w:r>
        <w:t xml:space="preserve"> </w:t>
      </w:r>
      <w:r>
        <w:rPr>
          <w:b/>
          <w:bCs/>
        </w:rPr>
        <w:t xml:space="preserve">operating cash flow is heavily back-half weighted</w:t>
      </w:r>
      <w:r>
        <w:t xml:space="preserve"> </w:t>
      </w:r>
      <w:r>
        <w:t xml:space="preserve">(only ~$1.1B in Q1), consistent with seasonal patterns.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September Investor Day</w:t>
      </w:r>
      <w:r>
        <w:t xml:space="preserve"> </w:t>
      </w:r>
      <w:r>
        <w:t xml:space="preserve">is the bigger strategic catalyst — expect management to use the call to tee it up (long-term growth algorithm, AI/affordability roadmap under Evanko). Watch for any preview of updated long-term targets.</w:t>
      </w:r>
    </w:p>
    <w:p>
      <w:r>
        <w:pict>
          <v:rect style="width:0;height:1.5pt" o:hralign="center" o:hrstd="t" o:hr="t"/>
        </w:pict>
      </w:r>
    </w:p>
    <w:bookmarkEnd w:id="14"/>
    <w:bookmarkStart w:id="15" w:name="X77ed7c20143998a91b82fcb20150343ee927ff8"/>
    <w:p>
      <w:pPr>
        <w:pStyle w:val="Heading2"/>
      </w:pPr>
      <w:r>
        <w:t xml:space="preserve">6. Stock Context &amp; Positioning</w:t>
      </w:r>
    </w:p>
    <w:p>
      <w:pPr>
        <w:pStyle w:val="FirstParagraph"/>
      </w:pPr>
      <w:r>
        <w:t xml:space="preserve">CI trades around **</w:t>
      </w:r>
      <m:oMath>
        <m:r>
          <m:t>296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7</m:t>
        </m:r>
        <m:r>
          <m:rPr>
            <m:sty m:val="p"/>
          </m:rPr>
          <m:t>/</m:t>
        </m:r>
        <m:r>
          <m:t>29</m:t>
        </m:r>
        <m:r>
          <m:t>c</m:t>
        </m:r>
        <m:r>
          <m:t>l</m:t>
        </m:r>
        <m:r>
          <m:t>o</m:t>
        </m:r>
        <m:r>
          <m:t>s</m:t>
        </m:r>
        <m:r>
          <m:t>e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u</m:t>
        </m:r>
        <m:r>
          <m:t>p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6</m:t>
        </m:r>
      </m:oMath>
      <w:r>
        <w:t xml:space="preserve">304 in mid-July before pulling back into the print. With the stock mid-range and the Q2 EPS bar effectively pre-set by management's own ~25%-of-FY guide,</w:t>
      </w:r>
      <w:r>
        <w:t xml:space="preserve"> </w:t>
      </w:r>
      <w:r>
        <w:rPr>
          <w:b/>
          <w:bCs/>
        </w:rPr>
        <w:t xml:space="preserve">the swing factor is the full-year guide and MCR trend commentary, not the headline beat.</w:t>
      </w:r>
    </w:p>
    <w:p>
      <w:pPr>
        <w:pStyle w:val="BodyText"/>
      </w:pPr>
      <w:r>
        <w:rPr>
          <w:b/>
          <w:bCs/>
        </w:rPr>
        <w:t xml:space="preserve">Bull case into the print:</w:t>
      </w:r>
      <w:r>
        <w:t xml:space="preserve"> </w:t>
      </w:r>
      <w:r>
        <w:t xml:space="preserve">another EPS raise; specialty momentum intact; benign cost-trend language; constructive Signature/2027-selling-season and eviCore updates.</w:t>
      </w:r>
    </w:p>
    <w:p>
      <w:pPr>
        <w:pStyle w:val="BodyText"/>
      </w:pPr>
      <w:r>
        <w:rPr>
          <w:b/>
          <w:bCs/>
        </w:rPr>
        <w:t xml:space="preserve">Bear/risk case:</w:t>
      </w:r>
      <w:r>
        <w:t xml:space="preserve"> </w:t>
      </w:r>
      <w:r>
        <w:t xml:space="preserve">Q2 MCR lands above the (already-elevated) guided level with any hint of accelerating trend; guidance merely reaffirmed (Humana-style "disappointment"); PBS drag deepens; or new leadership strikes a more conservative tone.</w:t>
      </w:r>
    </w:p>
    <w:p>
      <w:r>
        <w:pict>
          <v:rect style="width:0;height:1.5pt" o:hralign="center" o:hrstd="t" o:hr="t"/>
        </w:pict>
      </w:r>
    </w:p>
    <w:bookmarkEnd w:id="15"/>
    <w:bookmarkStart w:id="16" w:name="Xb3bbc5807062f1bc9a08ddf7bd9d8f6ae82e1a3"/>
    <w:p>
      <w:pPr>
        <w:pStyle w:val="Heading2"/>
      </w:pPr>
      <w:r>
        <w:t xml:space="preserve">7. Quick-Reference Scorecard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Q2'25 Actual</w:t>
            </w:r>
          </w:p>
        </w:tc>
        <w:tc>
          <w:tcPr/>
          <w:p>
            <w:pPr>
              <w:pStyle w:val="Compact"/>
            </w:pPr>
            <w:r>
              <w:t xml:space="preserve">FY26 Guide / Q2 Framing</w:t>
            </w:r>
          </w:p>
        </w:tc>
        <w:tc>
          <w:tcPr/>
          <w:p>
            <w:pPr>
              <w:pStyle w:val="Compact"/>
            </w:pPr>
            <w:r>
              <w:t xml:space="preserve">Q2'26 Consensus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$7.20</w:t>
            </w:r>
          </w:p>
        </w:tc>
        <w:tc>
          <w:tcPr/>
          <w:p>
            <w:pPr>
              <w:pStyle w:val="Compact"/>
            </w:pPr>
            <w:r>
              <w:t xml:space="preserve">FY ≥</w:t>
            </w:r>
            <w:r>
              <w:t xml:space="preserve"> </w:t>
            </w:r>
            <m:oMath>
              <m:r>
                <m:t>30.35</m:t>
              </m:r>
              <m:r>
                <m:rPr>
                  <m:sty m:val="p"/>
                </m:rPr>
                <m:t>;</m:t>
              </m:r>
              <m:r>
                <m:t>Q</m:t>
              </m:r>
              <m:r>
                <m:t>2</m:t>
              </m:r>
              <m:r>
                <m:rPr>
                  <m:sty m:val="p"/>
                </m:rPr>
                <m:t>≈</m:t>
              </m:r>
              <m:r>
                <m:t>25</m:t>
              </m:r>
            </m:oMath>
            <w:r>
              <w:t xml:space="preserve">7.59)</w:t>
            </w:r>
          </w:p>
        </w:tc>
        <w:tc>
          <w:tcPr/>
          <w:p>
            <w:pPr>
              <w:pStyle w:val="Compact"/>
            </w:pPr>
            <w:r>
              <w:t xml:space="preserve">~</w:t>
            </w:r>
            <m:oMath>
              <m:r>
                <m:t>7.58</m:t>
              </m:r>
              <m:r>
                <m:rPr>
                  <m:sty m:val="p"/>
                </m:rPr>
                <m:t>–</m:t>
              </m:r>
            </m:oMath>
            <w:r>
              <w:t xml:space="preserve">7.60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$67.2B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~$70–71B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Cigna Healthcare MCR</w:t>
            </w:r>
          </w:p>
        </w:tc>
        <w:tc>
          <w:tcPr/>
          <w:p>
            <w:pPr>
              <w:pStyle w:val="Compact"/>
            </w:pPr>
            <w:r>
              <w:t xml:space="preserve">83.2%</w:t>
            </w:r>
          </w:p>
        </w:tc>
        <w:tc>
          <w:tcPr/>
          <w:p>
            <w:pPr>
              <w:pStyle w:val="Compact"/>
            </w:pPr>
            <w:r>
              <w:t xml:space="preserve">FY 83.7–84.7%;</w:t>
            </w:r>
            <w:r>
              <w:t xml:space="preserve"> </w:t>
            </w:r>
            <w:r>
              <w:rPr>
                <w:b/>
                <w:bCs/>
              </w:rPr>
              <w:t xml:space="preserve">Q2 slightly above high end</w:t>
            </w:r>
          </w:p>
        </w:tc>
        <w:tc>
          <w:tcPr/>
          <w:p>
            <w:pPr>
              <w:pStyle w:val="Compact"/>
            </w:pPr>
            <w:r>
              <w:t xml:space="preserve">~85%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Evernorth pretax</w:t>
            </w:r>
          </w:p>
        </w:tc>
        <w:tc>
          <w:tcPr/>
          <w:p>
            <w:pPr>
              <w:pStyle w:val="Compact"/>
            </w:pPr>
            <w:r>
              <w:t xml:space="preserve">$1,696M</w:t>
            </w:r>
          </w:p>
        </w:tc>
        <w:tc>
          <w:tcPr/>
          <w:p>
            <w:pPr>
              <w:pStyle w:val="Compact"/>
            </w:pPr>
            <w:r>
              <w:t xml:space="preserve">FY ≥ $6.9B</w:t>
            </w:r>
          </w:p>
        </w:tc>
        <w:tc>
          <w:tcPr/>
          <w:p>
            <w:pPr>
              <w:pStyle w:val="Compact"/>
            </w:pPr>
            <w:r>
              <w:t xml:space="preserve">Specialty ↑ / PBS ↓ YoY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Cigna Healthcare pretax</w:t>
            </w:r>
          </w:p>
        </w:tc>
        <w:tc>
          <w:tcPr/>
          <w:p>
            <w:pPr>
              <w:pStyle w:val="Compact"/>
            </w:pPr>
            <w:r>
              <w:t xml:space="preserve">$1,094M</w:t>
            </w:r>
          </w:p>
        </w:tc>
        <w:tc>
          <w:tcPr/>
          <w:p>
            <w:pPr>
              <w:pStyle w:val="Compact"/>
            </w:pPr>
            <w:r>
              <w:t xml:space="preserve">FY ≥ $4.525B (1H ~60%+)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</w:tbl>
    <w:p>
      <w:pPr>
        <w:pStyle w:val="BodyText"/>
      </w:pPr>
      <w:r>
        <w:rPr>
          <w:b/>
          <w:bCs/>
        </w:rPr>
        <w:t xml:space="preserve">Bottom line:</w:t>
      </w:r>
      <w:r>
        <w:t xml:space="preserve"> </w:t>
      </w:r>
      <w:r>
        <w:t xml:space="preserve">The number itself should be close to in-line by management's own math. The report is really about (1) whether the full-year outlook gets raised again, (2) the tone on medical-cost trend and the seasonal Q2 MCR step-up, (3) PBS/Signature transition and 2027 retention, and (4) the first strategic signals from the Evanko-led team ahead of September's Investor Day.</w:t>
      </w:r>
    </w:p>
    <w:p>
      <w:pPr>
        <w:pStyle w:val="BodyText"/>
      </w:pPr>
      <w:r>
        <w:rPr>
          <w:i/>
          <w:iCs/>
        </w:rPr>
        <w:t xml:space="preserve">Note: This preview is based on Cigna's own disclosures (Q1 2026 and Q2 2025 results/guidance), publicly reported analyst consensus, and current sector news; it is informational and not investment advice.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2026-07-29T20:25:49Z</dcterms:created>
  <dcterms:modified xsi:type="dcterms:W3CDTF">2026-07-29T20:25:49Z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