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02a65d4496cd17d445cc2e8e4675e99399bb17a"/>
    <w:p>
      <w:pPr>
        <w:pStyle w:val="Heading1"/>
      </w:pPr>
      <w:r>
        <w:t xml:space="preserve">The Cigna Group (CI) — Q2 2026 Earnings Preview</w:t>
      </w:r>
    </w:p>
    <w:p>
      <w:pPr>
        <w:pStyle w:val="FirstParagraph"/>
      </w:pPr>
      <w:r>
        <w:rPr>
          <w:b/>
          <w:bCs/>
        </w:rPr>
        <w:t xml:space="preserve">Reports: Thursday, July 30, 2026, ~6:30 a.m. ET (release) / 8:30 a.m. ET (call)</w:t>
      </w:r>
    </w:p>
    <w:bookmarkStart w:id="9" w:name="setup"/>
    <w:p>
      <w:pPr>
        <w:pStyle w:val="Heading2"/>
      </w:pPr>
      <w:r>
        <w:t xml:space="preserve">Setup</w:t>
      </w:r>
    </w:p>
    <w:p>
      <w:pPr>
        <w:pStyle w:val="FirstParagraph"/>
      </w:pPr>
      <w:r>
        <w:t xml:space="preserve">CI shares enter the print near cycle highs — around</w:t>
      </w:r>
      <w:r>
        <w:t xml:space="preserve"> </w:t>
      </w:r>
      <m:oMath>
        <m:r>
          <m:t>298</m:t>
        </m:r>
        <m:r>
          <m:t>a</m:t>
        </m:r>
        <m:r>
          <m:t>s</m:t>
        </m:r>
        <m:r>
          <m:t>o</m:t>
        </m:r>
        <m:r>
          <m:t>f</m:t>
        </m:r>
        <m:r>
          <m:t>J</m:t>
        </m:r>
        <m:r>
          <m:t>u</m:t>
        </m:r>
        <m:r>
          <m:t>l</m:t>
        </m:r>
        <m:r>
          <m:t>y</m:t>
        </m:r>
        <m:r>
          <m:t>29</m:t>
        </m:r>
        <m:r>
          <m:rPr>
            <m:sty m:val="p"/>
          </m:rPr>
          <m:t>,</m:t>
        </m:r>
        <m:r>
          <m:t>h</m:t>
        </m:r>
        <m:r>
          <m:t>a</m:t>
        </m:r>
        <m:r>
          <m:t>v</m:t>
        </m:r>
        <m:r>
          <m:t>i</m:t>
        </m:r>
        <m:r>
          <m:t>n</m:t>
        </m:r>
        <m:r>
          <m:t>g</m:t>
        </m:r>
        <m:r>
          <m:t>r</m:t>
        </m:r>
        <m:r>
          <m:t>a</m:t>
        </m:r>
        <m:r>
          <m:t>l</m:t>
        </m:r>
        <m:r>
          <m:t>l</m:t>
        </m:r>
        <m:r>
          <m:t>i</m:t>
        </m:r>
        <m:r>
          <m:t>e</m:t>
        </m:r>
        <m:r>
          <m:t>d</m:t>
        </m:r>
        <m:r>
          <m:t>f</m:t>
        </m:r>
        <m:r>
          <m:t>r</m:t>
        </m:r>
        <m:r>
          <m:t>o</m:t>
        </m:r>
        <m:r>
          <m:t>m</m:t>
        </m:r>
        <m:r>
          <m:t>t</m:t>
        </m:r>
        <m:r>
          <m:t>h</m:t>
        </m:r>
        <m:r>
          <m:t>e</m:t>
        </m:r>
        <m:r>
          <m:t>h</m:t>
        </m:r>
        <m:r>
          <m:t>i</m:t>
        </m:r>
        <m:r>
          <m:t>g</m:t>
        </m:r>
        <m:r>
          <m:t>h</m:t>
        </m:r>
        <m:r>
          <m:rPr>
            <m:sty m:val="p"/>
          </m:rPr>
          <m:t>−</m:t>
        </m:r>
      </m:oMath>
      <w:r>
        <w:t xml:space="preserve">270s in early July to briefly touch ~$304 on July 13-14 after Bernstein lifted its price target to $381 on a "positive outlook," before pulling back with the broader managed-care group in the second half of July. The stock is up modestly year-to-date and has outperformed Humana and tracked roughly with Elevance, though it trails UnitedHealth's sharp turnaround rally.</w:t>
      </w:r>
    </w:p>
    <w:p>
      <w:pPr>
        <w:pStyle w:val="BodyText"/>
      </w:pPr>
      <w:r>
        <w:t xml:space="preserve">Wall Street is looking for</w:t>
      </w:r>
      <w:r>
        <w:t xml:space="preserve"> </w:t>
      </w:r>
      <w:r>
        <w:rPr>
          <w:b/>
          <w:bCs/>
        </w:rPr>
        <w:t xml:space="preserve">adjusted EPS of ~</w:t>
      </w:r>
      <m:oMath>
        <m:r>
          <m:t>7.58</m:t>
        </m:r>
        <m:r>
          <m:rPr>
            <m:sty m:val="p"/>
          </m:rPr>
          <m:t>–</m:t>
        </m:r>
      </m:oMath>
      <w:r>
        <w:rPr>
          <w:b/>
          <w:bCs/>
        </w:rPr>
        <w:t xml:space="preserve">7.60</w:t>
      </w:r>
      <w:r>
        <w:t xml:space="preserve"> </w:t>
      </w:r>
      <w:r>
        <w:t xml:space="preserve">on revenue of roughly **</w:t>
      </w:r>
      <m:oMath>
        <m:r>
          <m:t>70</m:t>
        </m:r>
        <m:r>
          <m:rPr>
            <m:sty m:val="p"/>
          </m:rPr>
          <m:t>–</m:t>
        </m:r>
        <m:r>
          <m:t>71</m:t>
        </m:r>
        <m:r>
          <m:t>b</m:t>
        </m:r>
        <m:r>
          <m:t>i</m:t>
        </m:r>
        <m:r>
          <m:t>l</m:t>
        </m:r>
        <m:r>
          <m:t>l</m:t>
        </m:r>
        <m:r>
          <m:t>i</m:t>
        </m:r>
        <m:r>
          <m:t>o</m:t>
        </m:r>
        <m:r>
          <m:t>n</m:t>
        </m:r>
        <m:r>
          <m:rPr>
            <m:sty m:val="p"/>
          </m:rPr>
          <m:t>*</m:t>
        </m:r>
        <m:r>
          <m:rPr>
            <m:sty m:val="p"/>
          </m:rPr>
          <m:t>*</m:t>
        </m:r>
        <m:r>
          <m:rPr>
            <m:sty m:val="p"/>
          </m:rPr>
          <m:t>,</m:t>
        </m:r>
        <m:r>
          <m:t>w</m:t>
        </m:r>
        <m:r>
          <m:t>h</m:t>
        </m:r>
        <m:r>
          <m:t>i</m:t>
        </m:r>
        <m:r>
          <m:t>c</m:t>
        </m:r>
        <m:r>
          <m:t>h</m:t>
        </m:r>
        <m:r>
          <m:t>w</m:t>
        </m:r>
        <m:r>
          <m:t>o</m:t>
        </m:r>
        <m:r>
          <m:t>u</m:t>
        </m:r>
        <m:r>
          <m:t>l</m:t>
        </m:r>
        <m:r>
          <m:t>d</m:t>
        </m:r>
        <m:r>
          <m:t>r</m:t>
        </m:r>
        <m:r>
          <m:t>e</m:t>
        </m:r>
        <m:r>
          <m:t>p</m:t>
        </m:r>
        <m:r>
          <m:t>r</m:t>
        </m:r>
        <m:r>
          <m:t>e</m:t>
        </m:r>
        <m:r>
          <m:t>s</m:t>
        </m:r>
        <m:r>
          <m:t>e</m:t>
        </m:r>
        <m:r>
          <m:t>n</m:t>
        </m:r>
        <m:r>
          <m:t>t</m:t>
        </m:r>
        <m:r>
          <m:t>a</m:t>
        </m:r>
        <m:r>
          <m:t>b</m:t>
        </m:r>
        <m:r>
          <m:t>o</m:t>
        </m:r>
        <m:r>
          <m:t>u</m:t>
        </m:r>
        <m:r>
          <m:t>t</m:t>
        </m:r>
        <m:r>
          <m:t>5</m:t>
        </m:r>
      </m:oMath>
      <w:r>
        <w:t xml:space="preserve">7.59 against the current full-year floor of at least</w:t>
      </w:r>
      <w:r>
        <w:t xml:space="preserve"> </w:t>
      </w:r>
      <w:r>
        <w:t xml:space="preserve">$30.35. That tight alignment means the bar is fairly "clean" — a print in the high-$</w:t>
      </w:r>
      <w:r>
        <w:t xml:space="preserve">7.50s/low-$7.60s should be viewed as in-line, and the more important signal will be commentary on the medical care ratio (MCR) trajectory and any change to full-year guidance.</w:t>
      </w:r>
    </w:p>
    <w:bookmarkEnd w:id="9"/>
    <w:bookmarkStart w:id="10" w:name="what-happened-last-quarter-context"/>
    <w:p>
      <w:pPr>
        <w:pStyle w:val="Heading2"/>
      </w:pPr>
      <w:r>
        <w:t xml:space="preserve">What happened last quarter (context)</w:t>
      </w:r>
    </w:p>
    <w:p>
      <w:pPr>
        <w:pStyle w:val="FirstParagraph"/>
      </w:pPr>
      <w:r>
        <w:t xml:space="preserve">Q1 2026 was strong across the board: total revenue of $68.5 billion and adjusted EPS of $7.79, up 16% year-over-year, prompting management to raise full-year adjusted EPS guidance to at least $30.35 (from $30.25) and raise the Cigna Healthcare pre-tax earnings outlook to at least</w:t>
      </w:r>
      <w:r>
        <w:t xml:space="preserve"> </w:t>
      </w:r>
      <m:oMath>
        <m:r>
          <m:t>4.525</m:t>
        </m:r>
        <m:r>
          <m:t>b</m:t>
        </m:r>
        <m:r>
          <m:t>i</m:t>
        </m:r>
        <m:r>
          <m:t>l</m:t>
        </m:r>
        <m:r>
          <m:t>l</m:t>
        </m:r>
        <m:r>
          <m:t>i</m:t>
        </m:r>
        <m:r>
          <m:t>o</m:t>
        </m:r>
        <m:r>
          <m:t>n</m:t>
        </m:r>
        <m:r>
          <m:rPr>
            <m:sty m:val="p"/>
          </m:rPr>
          <m:t>.</m:t>
        </m:r>
        <m:r>
          <m:t>C</m:t>
        </m:r>
        <m:r>
          <m:t>i</m:t>
        </m:r>
        <m:r>
          <m:t>g</m:t>
        </m:r>
        <m:r>
          <m:t>n</m:t>
        </m:r>
        <m:r>
          <m:t>a</m:t>
        </m:r>
        <m:r>
          <m:t>H</m:t>
        </m:r>
        <m:r>
          <m:t>e</m:t>
        </m:r>
        <m:r>
          <m:t>a</m:t>
        </m:r>
        <m:r>
          <m:t>l</m:t>
        </m:r>
        <m:r>
          <m:t>t</m:t>
        </m:r>
        <m:r>
          <m:t>h</m:t>
        </m:r>
        <m:r>
          <m:t>c</m:t>
        </m:r>
        <m:r>
          <m:t>a</m:t>
        </m:r>
        <m:r>
          <m:t>r</m:t>
        </m:r>
        <m:sSup>
          <m:e>
            <m:r>
              <m:t>e</m:t>
            </m:r>
          </m:e>
          <m:sup>
            <m:r>
              <m:rPr>
                <m:sty m:val="p"/>
              </m:rPr>
              <m:t>′</m:t>
            </m:r>
          </m:sup>
        </m:sSup>
        <m:r>
          <m:t>s</m:t>
        </m:r>
        <m:r>
          <m:t>s</m:t>
        </m:r>
        <m:r>
          <m:t>e</m:t>
        </m:r>
        <m:r>
          <m:t>g</m:t>
        </m:r>
        <m:r>
          <m:t>m</m:t>
        </m:r>
        <m:r>
          <m:t>e</m:t>
        </m:r>
        <m:r>
          <m:t>n</m:t>
        </m:r>
        <m:r>
          <m:t>t</m:t>
        </m:r>
        <m:r>
          <m:t>e</m:t>
        </m:r>
        <m:r>
          <m:t>a</m:t>
        </m:r>
        <m:r>
          <m:t>r</m:t>
        </m:r>
        <m:r>
          <m:t>n</m:t>
        </m:r>
        <m:r>
          <m:t>i</m:t>
        </m:r>
        <m:r>
          <m:t>n</m:t>
        </m:r>
        <m:r>
          <m:t>g</m:t>
        </m:r>
        <m:r>
          <m:t>s</m:t>
        </m:r>
        <m:r>
          <m:t>g</m:t>
        </m:r>
        <m:r>
          <m:t>r</m:t>
        </m:r>
        <m:r>
          <m:t>e</m:t>
        </m:r>
        <m:r>
          <m:t>w</m:t>
        </m:r>
        <m:r>
          <m:t>18</m:t>
        </m:r>
      </m:oMath>
      <w:r>
        <w:t xml:space="preserve">150 million), reflecting previously flagged large client renewals and investment ramp into the new "Signature" rebate-free pharmacy model.</w:t>
      </w:r>
    </w:p>
    <w:p>
      <w:pPr>
        <w:pStyle w:val="BodyText"/>
      </w:pPr>
      <w:r>
        <w:t xml:space="preserve">Three structural developments from Q1 remain live into this print and are worth tracking for updates:</w:t>
      </w:r>
    </w:p>
    <w:p>
      <w:pPr>
        <w:pStyle w:val="Compact"/>
        <w:numPr>
          <w:ilvl w:val="0"/>
          <w:numId w:val="1001"/>
        </w:numPr>
      </w:pPr>
      <w:r>
        <w:rPr>
          <w:b/>
          <w:bCs/>
        </w:rPr>
        <w:t xml:space="preserve">Leadership transition</w:t>
      </w:r>
      <w:r>
        <w:t xml:space="preserve">: David Cordani formally handed the CEO role to Brian Evanko on July 1, with Cordani moving to Executive Chair. This will be Evanko's first quarterly earnings call as CEO — watch for any shift in tone, capital-allocation priorities, or strategic emphasis.</w:t>
      </w:r>
    </w:p>
    <w:p>
      <w:pPr>
        <w:pStyle w:val="Compact"/>
        <w:numPr>
          <w:ilvl w:val="0"/>
          <w:numId w:val="1001"/>
        </w:numPr>
      </w:pPr>
      <w:r>
        <w:rPr>
          <w:b/>
          <w:bCs/>
        </w:rPr>
        <w:t xml:space="preserve">Portfolio reshaping</w:t>
      </w:r>
      <w:r>
        <w:t xml:space="preserve">: Cigna announced it will exit the individual ACA exchange business at the end of 2026 and is conducting a strategic review of alternatives for eviCore (its prior-authorization/care-management business), potentially including a sale or partnership. Investors should listen for any update on timing, buyer interest, or capital to be freed up from either action.</w:t>
      </w:r>
    </w:p>
    <w:p>
      <w:pPr>
        <w:pStyle w:val="Compact"/>
        <w:numPr>
          <w:ilvl w:val="0"/>
          <w:numId w:val="1001"/>
        </w:numPr>
      </w:pPr>
      <w:r>
        <w:rPr>
          <w:b/>
          <w:bCs/>
        </w:rPr>
        <w:t xml:space="preserve">"Signature" pharmacy model</w:t>
      </w:r>
      <w:r>
        <w:t xml:space="preserve">: The new rebate-free PBM model (targeting ~50% of Pharmacy Benefit Services membership by year-end 2028) is still in build-out/investment phase; management indicated spending on this transition is weighted toward the back half of 2026, which is a headwind to watch in the Evernorth print.</w:t>
      </w:r>
    </w:p>
    <w:bookmarkEnd w:id="10"/>
    <w:bookmarkStart w:id="11" w:name="segment-level-watch-items"/>
    <w:p>
      <w:pPr>
        <w:pStyle w:val="Heading2"/>
      </w:pPr>
      <w:r>
        <w:t xml:space="preserve">Segment-level watch items</w:t>
      </w:r>
    </w:p>
    <w:p>
      <w:pPr>
        <w:pStyle w:val="FirstParagraph"/>
      </w:pPr>
      <w:r>
        <w:rPr>
          <w:b/>
          <w:bCs/>
        </w:rPr>
        <w:t xml:space="preserve">Cigna Healthcare (Q2 MCR is the single most important number).</w:t>
      </w:r>
      <w:r>
        <w:t xml:space="preserve"> </w:t>
      </w:r>
      <w:r>
        <w:t xml:space="preserve">Management guided Q2 MCR to be "slightly above the high end of the full-year range" of 83.7%–84.7%, i.e., roughly 85%+, driven by normal seasonality (steeper now that the flatter-seasonality Medicare book has been divested to HCSC), a richer mix of bronze-plan ACA members reversing through the year, and weather/flu timing benefits from Q1 unwinding. Full-year MCR guidance was reiterated as unchanged. The key question for the call: does the sequential step-up land in line with that guide, and does management reiterate that underlying cost trend remains "elevated but not accelerating" — commentary that would support continued conservatism/upside optionality, similar to what peers have flagged this cycle.</w:t>
      </w:r>
    </w:p>
    <w:p>
      <w:pPr>
        <w:pStyle w:val="BodyText"/>
      </w:pPr>
      <w:r>
        <w:rPr>
          <w:b/>
          <w:bCs/>
        </w:rPr>
        <w:t xml:space="preserve">Evernorth.</w:t>
      </w:r>
      <w:r>
        <w:t xml:space="preserve"> </w:t>
      </w:r>
      <w:r>
        <w:t xml:space="preserve">Look for continued strength in Specialty and Care Services (management guided to the high end of its 8–12% secular growth range, helped by biosimilar/specialty-generic adoption, generic Revlimid, and the Shields Health Solutions investment) offsetting a still-declining Pharmacy Benefit Services segment as large client renewal headwinds and Signature investment spending continue to weigh on that business through 2026.</w:t>
      </w:r>
    </w:p>
    <w:p>
      <w:pPr>
        <w:pStyle w:val="BodyText"/>
      </w:pPr>
      <w:r>
        <w:rPr>
          <w:b/>
          <w:bCs/>
        </w:rPr>
        <w:t xml:space="preserve">Capital deployment.</w:t>
      </w:r>
      <w:r>
        <w:t xml:space="preserve"> </w:t>
      </w:r>
      <w:r>
        <w:t xml:space="preserve">Watch commentary on the debt-to-capitalization ratio (42.3% at Q1, expected to improve by year-end) and share repurchase pace, as well as any early details on capital freed up from the eviCore review or exchange exit ahead of the company's planned Investor Day in September 2026.</w:t>
      </w:r>
    </w:p>
    <w:bookmarkEnd w:id="11"/>
    <w:bookmarkStart w:id="12" w:name="sector-backdrop-into-the-print"/>
    <w:p>
      <w:pPr>
        <w:pStyle w:val="Heading2"/>
      </w:pPr>
      <w:r>
        <w:t xml:space="preserve">Sector backdrop into the print</w:t>
      </w:r>
    </w:p>
    <w:p>
      <w:pPr>
        <w:pStyle w:val="FirstParagraph"/>
      </w:pPr>
      <w:r>
        <w:t xml:space="preserve">This is a mixed managed-care earnings season, and CI's read-through peers have set a wide range of outcomes:</w:t>
      </w:r>
    </w:p>
    <w:p>
      <w:pPr>
        <w:pStyle w:val="Compact"/>
        <w:numPr>
          <w:ilvl w:val="0"/>
          <w:numId w:val="1002"/>
        </w:numPr>
      </w:pPr>
      <w:r>
        <w:rPr>
          <w:b/>
          <w:bCs/>
        </w:rPr>
        <w:t xml:space="preserve">UnitedHealth</w:t>
      </w:r>
      <w:r>
        <w:t xml:space="preserve"> </w:t>
      </w:r>
      <w:r>
        <w:t xml:space="preserve">delivered a blowout beat (adjusted EPS of</w:t>
      </w:r>
      <w:r>
        <w:t xml:space="preserve"> </w:t>
      </w:r>
      <m:oMath>
        <m:r>
          <m:t>6.38</m:t>
        </m:r>
        <m:r>
          <m:t>v</m:t>
        </m:r>
        <m:r>
          <m:t>s</m:t>
        </m:r>
        <m:r>
          <m:rPr>
            <m:sty m:val="p"/>
          </m:rPr>
          <m:t>.</m:t>
        </m:r>
        <m:r>
          <m:t> </m:t>
        </m:r>
      </m:oMath>
      <w:r>
        <w:t xml:space="preserve">4.90 expected) and raised full-year guidance meaningfully to</w:t>
      </w:r>
      <w:r>
        <w:t xml:space="preserve"> </w:t>
      </w:r>
      <m:oMath>
        <m:r>
          <m:t>19.50</m:t>
        </m:r>
        <m:r>
          <m:rPr>
            <m:sty m:val="p"/>
          </m:rPr>
          <m:t>–</m:t>
        </m:r>
      </m:oMath>
      <w:r>
        <w:t xml:space="preserve">20.00 from a prior floor of $18.25, with medical costs coming in well below expectations — shares jumped ~8%.</w:t>
      </w:r>
    </w:p>
    <w:p>
      <w:pPr>
        <w:pStyle w:val="Compact"/>
        <w:numPr>
          <w:ilvl w:val="0"/>
          <w:numId w:val="1002"/>
        </w:numPr>
      </w:pPr>
      <w:r>
        <w:rPr>
          <w:b/>
          <w:bCs/>
        </w:rPr>
        <w:t xml:space="preserve">Elevance Health</w:t>
      </w:r>
      <w:r>
        <w:t xml:space="preserve"> </w:t>
      </w:r>
      <w:r>
        <w:t xml:space="preserve">beat Q2 estimates (EPS of $7.45 vs. $6.18 expected, MCR ~45bps better than modeled) but raised full-year guidance by less than the beat, and shares fell more than 8% intraday as investors focused on continuing weakness in its Medicaid book and a "growing divide" across its commercial, Medicare Advantage, and Medicaid lines.</w:t>
      </w:r>
    </w:p>
    <w:p>
      <w:pPr>
        <w:pStyle w:val="Compact"/>
        <w:numPr>
          <w:ilvl w:val="0"/>
          <w:numId w:val="1002"/>
        </w:numPr>
      </w:pPr>
      <w:r>
        <w:rPr>
          <w:b/>
          <w:bCs/>
        </w:rPr>
        <w:t xml:space="preserve">Humana</w:t>
      </w:r>
      <w:r>
        <w:t xml:space="preserve"> </w:t>
      </w:r>
      <w:r>
        <w:t xml:space="preserve">topped estimates (adjusted EPS of $7.61 vs. $7.22 expected) with an in-line medical benefit ratio of 91.2%, but kept its full-year outlook of at least $9 unchanged, which one sell-side desk called a "disappointment" given peers' guidance raises — shares fell more than 4% in pre-market trading.</w:t>
      </w:r>
    </w:p>
    <w:p>
      <w:pPr>
        <w:pStyle w:val="FirstParagraph"/>
      </w:pPr>
      <w:r>
        <w:t xml:space="preserve">The broader tape suggests investors are rewarding evidence of decelerating medical cost trend and clear, credible guidance raises, and punishing "good-not-great" prints or unchanged outlooks even when headline numbers beat. Given CI's mix (Evernorth/PBM-heavy, smaller pure insurance-risk exposure after the Medicare divestiture to HCSC), it is somewhat insulated from the Medicare Advantage/Medicaid cost pressures driving the divergence between UNH, ELV, and HUM, but the market's reaction function this quarter has clearly been about the trajectory and credibility of full-year guidance, not just the quarterly beat.</w:t>
      </w:r>
    </w:p>
    <w:p>
      <w:pPr>
        <w:pStyle w:val="BodyText"/>
      </w:pPr>
      <w:r>
        <w:t xml:space="preserve">Also relevant: the ACA marketplace continues to face disruption following the expiration of enhanced premium tax credits at the end of 2025, which is driving materially higher premiums and enrollment uncertainty for 2026 exchange business — the same dynamic that is informing Cigna's decision to exit the individual exchange market after this year. Separately, the Trump administration this week announced it will end a Medicare Part D premium subsidy program starting in 2027, adding another data point to the shifting government-program backdrop, though this affects Medicare Part D (a business Cigna largely exited via the HCSC transaction) more than Cigna's current core book.</w:t>
      </w:r>
    </w:p>
    <w:bookmarkEnd w:id="12"/>
    <w:bookmarkStart w:id="13" w:name="key-questions-for-the-call"/>
    <w:p>
      <w:pPr>
        <w:pStyle w:val="Heading2"/>
      </w:pPr>
      <w:r>
        <w:t xml:space="preserve">Key questions for the call</w:t>
      </w:r>
    </w:p>
    <w:p>
      <w:pPr>
        <w:pStyle w:val="Compact"/>
        <w:numPr>
          <w:ilvl w:val="0"/>
          <w:numId w:val="1003"/>
        </w:numPr>
      </w:pPr>
      <w:r>
        <w:t xml:space="preserve">Does Cigna reiterate or raise full-year 2026 EPS guidance (currently "at least $30.35"), and is there any incremental detail on 2H26 EPS cadence beyond the ~25%-of-year Q2 framework?</w:t>
      </w:r>
    </w:p>
    <w:p>
      <w:pPr>
        <w:pStyle w:val="Compact"/>
        <w:numPr>
          <w:ilvl w:val="0"/>
          <w:numId w:val="1003"/>
        </w:numPr>
      </w:pPr>
      <w:r>
        <w:t xml:space="preserve">Is the Q2 MCR step-up in Cigna Healthcare in line with the "slightly above high end of range" guide, and does management characterize underlying medical cost trend as stable, decelerating, or still elevated?</w:t>
      </w:r>
    </w:p>
    <w:p>
      <w:pPr>
        <w:pStyle w:val="Compact"/>
        <w:numPr>
          <w:ilvl w:val="0"/>
          <w:numId w:val="1003"/>
        </w:numPr>
      </w:pPr>
      <w:r>
        <w:t xml:space="preserve">What is the status and expected timeline of the eviCore strategic review, and is there any early indication of proceeds or a transaction structure?</w:t>
      </w:r>
    </w:p>
    <w:p>
      <w:pPr>
        <w:pStyle w:val="Compact"/>
        <w:numPr>
          <w:ilvl w:val="0"/>
          <w:numId w:val="1003"/>
        </w:numPr>
      </w:pPr>
      <w:r>
        <w:t xml:space="preserve">How is the individual exchange wind-down progressing operationally, and is there any quantification of capital to be freed up in 2027?</w:t>
      </w:r>
    </w:p>
    <w:p>
      <w:pPr>
        <w:pStyle w:val="Compact"/>
        <w:numPr>
          <w:ilvl w:val="0"/>
          <w:numId w:val="1003"/>
        </w:numPr>
      </w:pPr>
      <w:r>
        <w:t xml:space="preserve">What is the incremental drag from Signature investment spend in Q2/2H26, and is Pharmacy Benefit Services still tracking to prior commentary?</w:t>
      </w:r>
    </w:p>
    <w:p>
      <w:pPr>
        <w:pStyle w:val="Compact"/>
        <w:numPr>
          <w:ilvl w:val="0"/>
          <w:numId w:val="1003"/>
        </w:numPr>
      </w:pPr>
      <w:r>
        <w:t xml:space="preserve">Any new color from incoming CEO Brian Evanko on capital allocation priorities, M&amp;A appetite (bolt-on specialty deals), or strategic emphasis ahead of the September Investor Day?</w:t>
      </w:r>
    </w:p>
    <w:bookmarkEnd w:id="13"/>
    <w:bookmarkStart w:id="14" w:name="bottom-line"/>
    <w:p>
      <w:pPr>
        <w:pStyle w:val="Heading2"/>
      </w:pPr>
      <w:r>
        <w:t xml:space="preserve">Bottom line</w:t>
      </w:r>
    </w:p>
    <w:p>
      <w:pPr>
        <w:pStyle w:val="FirstParagraph"/>
      </w:pPr>
      <w:r>
        <w:t xml:space="preserve">Expectations are calibrated tightly to management's own guidance cadence (~</w:t>
      </w:r>
      <m:oMath>
        <m:r>
          <m:t>7.58</m:t>
        </m:r>
        <m:r>
          <m:rPr>
            <m:sty m:val="p"/>
          </m:rPr>
          <m:t>–</m:t>
        </m:r>
      </m:oMath>
      <w:r>
        <w:t xml:space="preserve">7.60 EPS), so an in-line beat is unlikely to move the stock much on its own. The swing factors are (1) the Cigna Healthcare MCR trajectory and cost-trend commentary relative to a sector that has just shown it will reward credible guidance raises (UNH) and punish "good but not good enough" outlooks (ELV, HUM), and (2) any incremental news on the eviCore review, ACA exchange exit economics, or capital deployment plans under new CEO Brian Evanko's first quarter at the helm.</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2026-07-29T18:11:09Z</dcterms:created>
  <dcterms:modified xsi:type="dcterms:W3CDTF">2026-07-29T18:11:09Z</dcterms:modified>
</cp:coreProperties>
</file>

<file path=docProps/custom.xml><?xml version="1.0" encoding="utf-8"?>
<Properties xmlns="http://schemas.openxmlformats.org/officeDocument/2006/custom-properties" xmlns:vt="http://schemas.openxmlformats.org/officeDocument/2006/docPropsVTypes"/>
</file>