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ci-q2-2026-earnings-preview"/>
    <w:p>
      <w:pPr>
        <w:pStyle w:val="Heading1"/>
      </w:pPr>
      <w:r>
        <w:t xml:space="preserve">CI Q2 2026 Earnings Preview</w:t>
      </w:r>
    </w:p>
    <w:p>
      <w:pPr>
        <w:pStyle w:val="FirstParagraph"/>
      </w:pPr>
      <w:r>
        <w:rPr>
          <w:b/>
          <w:bCs/>
        </w:rPr>
        <w:t xml:space="preserve">Report date:</w:t>
      </w:r>
      <w:r>
        <w:t xml:space="preserve"> </w:t>
      </w:r>
      <w:r>
        <w:t xml:space="preserve">Thursday, July 30, 2026</w:t>
      </w:r>
      <w:r>
        <w:br/>
      </w:r>
      <w:r>
        <w:rPr>
          <w:b/>
          <w:bCs/>
        </w:rPr>
        <w:t xml:space="preserve">Results:</w:t>
      </w:r>
      <w:r>
        <w:t xml:space="preserve"> </w:t>
      </w:r>
      <w:r>
        <w:t xml:space="preserve">Before the market opens; release expected by 6:30 a.m. ET</w:t>
      </w:r>
      <w:r>
        <w:br/>
      </w:r>
      <w:r>
        <w:rPr>
          <w:b/>
          <w:bCs/>
        </w:rPr>
        <w:t xml:space="preserve">Conference call:</w:t>
      </w:r>
      <w:r>
        <w:t xml:space="preserve"> </w:t>
      </w:r>
      <w:r>
        <w:t xml:space="preserve">8:30 a.m. ET (</w:t>
      </w:r>
      <w:hyperlink r:id="rId9">
        <w:r>
          <w:rPr>
            <w:rStyle w:val="Hyperlink"/>
          </w:rPr>
          <w:t xml:space="preserve">newsroom.thecignagroup.com</w:t>
        </w:r>
      </w:hyperlink>
      <w:r>
        <w:t xml:space="preserve">)</w:t>
      </w:r>
    </w:p>
    <w:bookmarkStart w:id="11" w:name="executive-view"/>
    <w:p>
      <w:pPr>
        <w:pStyle w:val="Heading2"/>
      </w:pPr>
      <w:r>
        <w:t xml:space="preserve">Executive view</w:t>
      </w:r>
    </w:p>
    <w:p>
      <w:pPr>
        <w:pStyle w:val="FirstParagraph"/>
      </w:pPr>
      <w:r>
        <w:t xml:space="preserve">Cigna enters the quarter with a relatively clear numerical target but several important questions about earnings quality.</w:t>
      </w:r>
    </w:p>
    <w:p>
      <w:pPr>
        <w:pStyle w:val="BodyText"/>
      </w:pPr>
      <w:r>
        <w:t xml:space="preserve">Wall Street expects approximately</w:t>
      </w:r>
      <w:r>
        <w:t xml:space="preserve"> </w:t>
      </w:r>
      <w:r>
        <w:rPr>
          <w:b/>
          <w:bCs/>
        </w:rPr>
        <w:t xml:space="preserve">$7.57 of adjusted EPS on</w:t>
      </w:r>
      <w:r>
        <w:rPr>
          <w:b/>
          <w:bCs/>
        </w:rPr>
        <w:t xml:space="preserve"> </w:t>
      </w:r>
      <m:oMath>
        <m:r>
          <m:t>70.38</m:t>
        </m:r>
        <m:r>
          <m:t>b</m:t>
        </m:r>
        <m:r>
          <m:t>i</m:t>
        </m:r>
        <m:r>
          <m:t>l</m:t>
        </m:r>
        <m:r>
          <m:t>l</m:t>
        </m:r>
        <m:r>
          <m:t>i</m:t>
        </m:r>
        <m:r>
          <m:t>o</m:t>
        </m:r>
        <m:r>
          <m:t>n</m:t>
        </m:r>
        <m:r>
          <m:t>o</m:t>
        </m:r>
        <m:r>
          <m:t>f</m:t>
        </m:r>
        <m:r>
          <m:t>r</m:t>
        </m:r>
        <m:r>
          <m:t>e</m:t>
        </m:r>
        <m:r>
          <m:t>v</m:t>
        </m:r>
        <m:r>
          <m:t>e</m:t>
        </m:r>
        <m:r>
          <m:t>n</m:t>
        </m:r>
        <m:r>
          <m:t>u</m:t>
        </m:r>
        <m:r>
          <m:t>e</m:t>
        </m:r>
        <m:r>
          <m:rPr>
            <m:sty m:val="p"/>
          </m:rPr>
          <m:t>*</m:t>
        </m:r>
        <m:r>
          <m:rPr>
            <m:sty m:val="p"/>
          </m:rPr>
          <m:t>*</m:t>
        </m:r>
        <m:r>
          <m:rPr>
            <m:sty m:val="p"/>
          </m:rPr>
          <m:t>,</m:t>
        </m:r>
        <m:r>
          <m:t>r</m:t>
        </m:r>
        <m:r>
          <m:t>e</m:t>
        </m:r>
        <m:r>
          <m:t>p</m:t>
        </m:r>
        <m:r>
          <m:t>r</m:t>
        </m:r>
        <m:r>
          <m:t>e</m:t>
        </m:r>
        <m:r>
          <m:t>s</m:t>
        </m:r>
        <m:r>
          <m:t>e</m:t>
        </m:r>
        <m:r>
          <m:t>n</m:t>
        </m:r>
        <m:r>
          <m:t>t</m:t>
        </m:r>
        <m:r>
          <m:t>i</m:t>
        </m:r>
        <m:r>
          <m:t>n</m:t>
        </m:r>
        <m:r>
          <m:t>g</m:t>
        </m:r>
        <m:r>
          <m:t>y</m:t>
        </m:r>
        <m:r>
          <m:t>e</m:t>
        </m:r>
        <m:r>
          <m:t>a</m:t>
        </m:r>
        <m:r>
          <m:t>r</m:t>
        </m:r>
        <m:r>
          <m:rPr>
            <m:sty m:val="p"/>
          </m:rPr>
          <m:t>−</m:t>
        </m:r>
        <m:r>
          <m:t>o</m:t>
        </m:r>
        <m:r>
          <m:t>v</m:t>
        </m:r>
        <m:r>
          <m:t>e</m:t>
        </m:r>
        <m:r>
          <m:t>r</m:t>
        </m:r>
        <m:r>
          <m:rPr>
            <m:sty m:val="p"/>
          </m:rPr>
          <m:t>−</m:t>
        </m:r>
        <m:r>
          <m:t>y</m:t>
        </m:r>
        <m:r>
          <m:t>e</m:t>
        </m:r>
        <m:r>
          <m:t>a</m:t>
        </m:r>
        <m:r>
          <m:t>r</m:t>
        </m:r>
        <m:r>
          <m:t>g</m:t>
        </m:r>
        <m:r>
          <m:t>r</m:t>
        </m:r>
        <m:r>
          <m:t>o</m:t>
        </m:r>
        <m:r>
          <m:t>w</m:t>
        </m:r>
        <m:r>
          <m:t>t</m:t>
        </m:r>
        <m:r>
          <m:t>h</m:t>
        </m:r>
        <m:r>
          <m:t>o</m:t>
        </m:r>
        <m:r>
          <m:t>f</m:t>
        </m:r>
        <m:r>
          <m:t>r</m:t>
        </m:r>
        <m:r>
          <m:t>o</m:t>
        </m:r>
        <m:r>
          <m:t>u</m:t>
        </m:r>
        <m:r>
          <m:t>g</m:t>
        </m:r>
        <m:r>
          <m:t>h</m:t>
        </m:r>
        <m:r>
          <m:t>l</m:t>
        </m:r>
        <m:r>
          <m:t>y</m:t>
        </m:r>
        <m:r>
          <m:t>5</m:t>
        </m:r>
      </m:oMath>
      <w:r>
        <w:rPr>
          <w:b/>
          <w:bCs/>
        </w:rPr>
        <w:t xml:space="preserve">7.59</w:t>
      </w:r>
      <w:r>
        <w:t xml:space="preserve">—so consensus effectively sits on the company’s own cadence guidance. (</w:t>
      </w:r>
      <w:hyperlink r:id="rId10">
        <w:r>
          <w:rPr>
            <w:rStyle w:val="Hyperlink"/>
          </w:rPr>
          <w:t xml:space="preserve">benzinga.com</w:t>
        </w:r>
      </w:hyperlink>
      <w:r>
        <w:t xml:space="preserve">)</w:t>
      </w:r>
    </w:p>
    <w:p>
      <w:pPr>
        <w:pStyle w:val="BodyText"/>
      </w:pPr>
      <w:r>
        <w:t xml:space="preserve">Accordingly, a small EPS beat is unlikely to settle the debate. The more consequential issues are:</w:t>
      </w:r>
    </w:p>
    <w:p>
      <w:pPr>
        <w:pStyle w:val="Compact"/>
        <w:numPr>
          <w:ilvl w:val="0"/>
          <w:numId w:val="1001"/>
        </w:numPr>
      </w:pPr>
      <w:r>
        <w:t xml:space="preserve">Whether Cigna Healthcare’s medical-cost performance remains better than feared.</w:t>
      </w:r>
    </w:p>
    <w:p>
      <w:pPr>
        <w:pStyle w:val="Compact"/>
        <w:numPr>
          <w:ilvl w:val="0"/>
          <w:numId w:val="1001"/>
        </w:numPr>
      </w:pPr>
      <w:r>
        <w:t xml:space="preserve">Whether Specialty and Care Services can continue offsetting pressure in the traditional PBM business.</w:t>
      </w:r>
    </w:p>
    <w:p>
      <w:pPr>
        <w:pStyle w:val="Compact"/>
        <w:numPr>
          <w:ilvl w:val="0"/>
          <w:numId w:val="1001"/>
        </w:numPr>
      </w:pPr>
      <w:r>
        <w:t xml:space="preserve">Whether management raises its</w:t>
      </w:r>
      <w:r>
        <w:t xml:space="preserve"> </w:t>
      </w:r>
      <w:r>
        <w:rPr>
          <w:b/>
          <w:bCs/>
        </w:rPr>
        <w:t xml:space="preserve">“at least $30.35”</w:t>
      </w:r>
      <w:r>
        <w:t xml:space="preserve"> </w:t>
      </w:r>
      <w:r>
        <w:t xml:space="preserve">full-year EPS outlook.</w:t>
      </w:r>
    </w:p>
    <w:p>
      <w:pPr>
        <w:pStyle w:val="Compact"/>
        <w:numPr>
          <w:ilvl w:val="0"/>
          <w:numId w:val="1001"/>
        </w:numPr>
      </w:pPr>
      <w:r>
        <w:t xml:space="preserve">What new CEO Brian Evanko says about PBM margins, the 2027 selling season and portfolio actions.</w:t>
      </w:r>
    </w:p>
    <w:bookmarkEnd w:id="11"/>
    <w:bookmarkStart w:id="12" w:name="key-benchmarks"/>
    <w:p>
      <w:pPr>
        <w:pStyle w:val="Heading2"/>
      </w:pPr>
      <w:r>
        <w:t xml:space="preserve">Key benchmarks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benchmark</w:t>
            </w:r>
          </w:p>
        </w:tc>
        <w:tc>
          <w:tcPr/>
          <w:p>
            <w:pPr>
              <w:pStyle w:val="Compact"/>
              <w:jc w:val="right"/>
            </w:pPr>
            <w:r>
              <w:t xml:space="preserve">Relevant comparison</w:t>
            </w:r>
          </w:p>
        </w:tc>
      </w:tr>
      <w:tr>
        <w:tc>
          <w:tcPr/>
          <w:p>
            <w:pPr>
              <w:pStyle w:val="Compact"/>
            </w:pPr>
            <w:r>
              <w:t xml:space="preserve">Adjusted EPS</w:t>
            </w:r>
          </w:p>
        </w:tc>
        <w:tc>
          <w:tcPr/>
          <w:p>
            <w:pPr>
              <w:pStyle w:val="Compact"/>
              <w:jc w:val="right"/>
            </w:pPr>
            <w:r>
              <w:rPr>
                <w:b/>
                <w:bCs/>
              </w:rPr>
              <w:t xml:space="preserve">$7.57 consensus</w:t>
            </w:r>
          </w:p>
        </w:tc>
        <w:tc>
          <w:tcPr/>
          <w:p>
            <w:pPr>
              <w:pStyle w:val="Compact"/>
              <w:jc w:val="right"/>
            </w:pPr>
            <w:r>
              <w:t xml:space="preserve">$7.20 in Q2 2025</w:t>
            </w:r>
          </w:p>
        </w:tc>
      </w:tr>
      <w:tr>
        <w:tc>
          <w:tcPr/>
          <w:p>
            <w:pPr>
              <w:pStyle w:val="Compact"/>
            </w:pPr>
            <w:r>
              <w:t xml:space="preserve">Revenue</w:t>
            </w:r>
          </w:p>
        </w:tc>
        <w:tc>
          <w:tcPr/>
          <w:p>
            <w:pPr>
              <w:pStyle w:val="Compact"/>
              <w:jc w:val="right"/>
            </w:pPr>
            <w:r>
              <w:rPr>
                <w:b/>
                <w:bCs/>
              </w:rPr>
              <w:t xml:space="preserve">$70.38B consensus</w:t>
            </w:r>
          </w:p>
        </w:tc>
        <w:tc>
          <w:tcPr/>
          <w:p>
            <w:pPr>
              <w:pStyle w:val="Compact"/>
              <w:jc w:val="right"/>
            </w:pPr>
            <w:r>
              <w:t xml:space="preserve">$67.18B in Q2 2025</w:t>
            </w:r>
          </w:p>
        </w:tc>
      </w:tr>
      <w:tr>
        <w:tc>
          <w:tcPr/>
          <w:p>
            <w:pPr>
              <w:pStyle w:val="Compact"/>
            </w:pPr>
            <w:r>
              <w:t xml:space="preserve">Cigna Healthcare MCR</w:t>
            </w:r>
          </w:p>
        </w:tc>
        <w:tc>
          <w:tcPr/>
          <w:p>
            <w:pPr>
              <w:pStyle w:val="Compact"/>
              <w:jc w:val="right"/>
            </w:pPr>
            <w:r>
              <w:t xml:space="preserve">Around</w:t>
            </w:r>
            <w:r>
              <w:t xml:space="preserve"> </w:t>
            </w:r>
            <w:r>
              <w:rPr>
                <w:b/>
                <w:bCs/>
              </w:rPr>
              <w:t xml:space="preserve">84.8% consensus</w:t>
            </w:r>
          </w:p>
        </w:tc>
        <w:tc>
          <w:tcPr/>
          <w:p>
            <w:pPr>
              <w:pStyle w:val="Compact"/>
              <w:jc w:val="right"/>
            </w:pPr>
            <w:r>
              <w:t xml:space="preserve">83.2% in Q2 2025</w:t>
            </w:r>
          </w:p>
        </w:tc>
      </w:tr>
      <w:tr>
        <w:tc>
          <w:tcPr/>
          <w:p>
            <w:pPr>
              <w:pStyle w:val="Compact"/>
            </w:pPr>
            <w:r>
              <w:t xml:space="preserve">FY2026 adjusted EPS</w:t>
            </w:r>
          </w:p>
        </w:tc>
        <w:tc>
          <w:tcPr/>
          <w:p>
            <w:pPr>
              <w:pStyle w:val="Compact"/>
              <w:jc w:val="right"/>
            </w:pPr>
            <w:r>
              <w:rPr>
                <w:b/>
                <w:bCs/>
              </w:rPr>
              <w:t xml:space="preserve">At least $30.35</w:t>
            </w:r>
          </w:p>
        </w:tc>
        <w:tc>
          <w:tcPr/>
          <w:p>
            <w:pPr>
              <w:pStyle w:val="Compact"/>
              <w:jc w:val="right"/>
            </w:pPr>
            <w:r>
              <w:t xml:space="preserve">Original outlook was at least $30.25</w:t>
            </w:r>
          </w:p>
        </w:tc>
      </w:tr>
      <w:tr>
        <w:tc>
          <w:tcPr/>
          <w:p>
            <w:pPr>
              <w:pStyle w:val="Compact"/>
            </w:pPr>
            <w:r>
              <w:t xml:space="preserve">FY2026 Evernorth pretax earnings</w:t>
            </w:r>
          </w:p>
        </w:tc>
        <w:tc>
          <w:tcPr/>
          <w:p>
            <w:pPr>
              <w:pStyle w:val="Compact"/>
              <w:jc w:val="right"/>
            </w:pPr>
            <w:r>
              <w:rPr>
                <w:b/>
                <w:bCs/>
              </w:rPr>
              <w:t xml:space="preserve">At least $6.9B</w:t>
            </w:r>
          </w:p>
        </w:tc>
        <w:tc>
          <w:tcPr/>
          <w:p>
            <w:pPr>
              <w:pStyle w:val="Compact"/>
              <w:jc w:val="right"/>
            </w:pPr>
            <w:r>
              <w:t xml:space="preserve">$1.47B earned in Q1</w:t>
            </w:r>
          </w:p>
        </w:tc>
      </w:tr>
      <w:tr>
        <w:tc>
          <w:tcPr/>
          <w:p>
            <w:pPr>
              <w:pStyle w:val="Compact"/>
            </w:pPr>
            <w:r>
              <w:t xml:space="preserve">FY2026 Cigna Healthcare pretax earnings</w:t>
            </w:r>
          </w:p>
        </w:tc>
        <w:tc>
          <w:tcPr/>
          <w:p>
            <w:pPr>
              <w:pStyle w:val="Compact"/>
              <w:jc w:val="right"/>
            </w:pPr>
            <w:r>
              <w:rPr>
                <w:b/>
                <w:bCs/>
              </w:rPr>
              <w:t xml:space="preserve">At least $4.525B</w:t>
            </w:r>
          </w:p>
        </w:tc>
        <w:tc>
          <w:tcPr/>
          <w:p>
            <w:pPr>
              <w:pStyle w:val="Compact"/>
              <w:jc w:val="right"/>
            </w:pPr>
            <w:r>
              <w:t xml:space="preserve">$1.51B earned in Q1</w:t>
            </w:r>
          </w:p>
        </w:tc>
      </w:tr>
    </w:tbl>
    <w:p>
      <w:pPr>
        <w:pStyle w:val="BodyText"/>
      </w:pPr>
      <w:r>
        <w:t xml:space="preserve">Consensus estimates are approximately $7.57 of EPS and $70.38 billion of revenue. One recent Bernstein preview also cited an 84.8% MCR consensus, although Bernstein itself expects a materially better 83.0%. (</w:t>
      </w:r>
      <w:hyperlink r:id="rId10">
        <w:r>
          <w:rPr>
            <w:rStyle w:val="Hyperlink"/>
          </w:rPr>
          <w:t xml:space="preserve">benzinga.com</w:t>
        </w:r>
      </w:hyperlink>
      <w:r>
        <w:t xml:space="preserve">)</w:t>
      </w:r>
    </w:p>
    <w:bookmarkEnd w:id="12"/>
    <w:bookmarkStart w:id="15" w:name="X6e8b7fcf14e066a7aaa405e9190e546e2762b86"/>
    <w:p>
      <w:pPr>
        <w:pStyle w:val="Heading2"/>
      </w:pPr>
      <w:r>
        <w:t xml:space="preserve">1. Medical costs are the biggest potential source of upside—and risk</w:t>
      </w:r>
    </w:p>
    <w:p>
      <w:pPr>
        <w:pStyle w:val="FirstParagraph"/>
      </w:pPr>
      <w:r>
        <w:t xml:space="preserve">Cigna Healthcare was the major source of Q1 upside. Pretax adjusted earnings increased 18% to $1.51 billion, while the MCR came in at 79.8%. That unusually favorable ratio benefited from lower flu activity, weather-related care deferrals and the seasonal mix of individual-exchange membership. (</w:t>
      </w:r>
      <w:hyperlink r:id="rId13">
        <w:r>
          <w:rPr>
            <w:rStyle w:val="Hyperlink"/>
          </w:rPr>
          <w:t xml:space="preserve">sec.gov</w:t>
        </w:r>
      </w:hyperlink>
      <w:r>
        <w:t xml:space="preserve">)</w:t>
      </w:r>
    </w:p>
    <w:p>
      <w:pPr>
        <w:pStyle w:val="BodyText"/>
      </w:pPr>
      <w:r>
        <w:t xml:space="preserve">Management explicitly warned that Q2 MCR would be</w:t>
      </w:r>
      <w:r>
        <w:t xml:space="preserve"> </w:t>
      </w:r>
      <w:r>
        <w:rPr>
          <w:b/>
          <w:bCs/>
        </w:rPr>
        <w:t xml:space="preserve">slightly above the 84.7% high end of its full-year range</w:t>
      </w:r>
      <w:r>
        <w:t xml:space="preserve">, reflecting normal utilization seasonality, deferred care returning and business mix. It also guided first-half Cigna Healthcare earnings to slightly more than 60% of the $4.525 billion full-year target, implying a Q2 earnings floor of approximately $1.2 billion. (</w:t>
      </w:r>
      <w:hyperlink r:id="rId14">
        <w:r>
          <w:rPr>
            <w:rStyle w:val="Hyperlink"/>
          </w:rPr>
          <w:t xml:space="preserve">s202.q4cdn.com</w:t>
        </w:r>
      </w:hyperlink>
      <w:r>
        <w:t xml:space="preserve">)</w:t>
      </w:r>
    </w:p>
    <w:p>
      <w:pPr>
        <w:pStyle w:val="BodyText"/>
      </w:pPr>
      <w:r>
        <w:t xml:space="preserve">The central question is whether the Q1 favorability was merely timing or reflected stronger pricing and cost management.</w:t>
      </w:r>
    </w:p>
    <w:p>
      <w:pPr>
        <w:pStyle w:val="BodyText"/>
      </w:pPr>
      <w:r>
        <w:rPr>
          <w:b/>
          <w:bCs/>
        </w:rPr>
        <w:t xml:space="preserve">Positive read-through:</w:t>
      </w:r>
    </w:p>
    <w:p>
      <w:pPr>
        <w:pStyle w:val="Compact"/>
        <w:numPr>
          <w:ilvl w:val="0"/>
          <w:numId w:val="1002"/>
        </w:numPr>
      </w:pPr>
      <w:r>
        <w:t xml:space="preserve">MCR near or below roughly 84.8%.</w:t>
      </w:r>
    </w:p>
    <w:p>
      <w:pPr>
        <w:pStyle w:val="Compact"/>
        <w:numPr>
          <w:ilvl w:val="0"/>
          <w:numId w:val="1002"/>
        </w:numPr>
      </w:pPr>
      <w:r>
        <w:t xml:space="preserve">No acceleration in employer medical-cost trend.</w:t>
      </w:r>
    </w:p>
    <w:p>
      <w:pPr>
        <w:pStyle w:val="Compact"/>
        <w:numPr>
          <w:ilvl w:val="0"/>
          <w:numId w:val="1002"/>
        </w:numPr>
      </w:pPr>
      <w:r>
        <w:t xml:space="preserve">Continued strength in stop-loss underwriting and rate realization.</w:t>
      </w:r>
    </w:p>
    <w:p>
      <w:pPr>
        <w:pStyle w:val="Compact"/>
        <w:numPr>
          <w:ilvl w:val="0"/>
          <w:numId w:val="1002"/>
        </w:numPr>
      </w:pPr>
      <w:r>
        <w:t xml:space="preserve">Management maintains or improves the full-year 83.7%–84.7% MCR range.</w:t>
      </w:r>
    </w:p>
    <w:p>
      <w:pPr>
        <w:pStyle w:val="FirstParagraph"/>
      </w:pPr>
      <w:r>
        <w:rPr>
          <w:b/>
          <w:bCs/>
        </w:rPr>
        <w:t xml:space="preserve">Negative read-through:</w:t>
      </w:r>
    </w:p>
    <w:p>
      <w:pPr>
        <w:pStyle w:val="Compact"/>
        <w:numPr>
          <w:ilvl w:val="0"/>
          <w:numId w:val="1003"/>
        </w:numPr>
      </w:pPr>
      <w:r>
        <w:t xml:space="preserve">MCR materially above 85%.</w:t>
      </w:r>
    </w:p>
    <w:p>
      <w:pPr>
        <w:pStyle w:val="Compact"/>
        <w:numPr>
          <w:ilvl w:val="0"/>
          <w:numId w:val="1003"/>
        </w:numPr>
      </w:pPr>
      <w:r>
        <w:t xml:space="preserve">Evidence that Q1 weather-related deferrals returned faster than expected.</w:t>
      </w:r>
    </w:p>
    <w:p>
      <w:pPr>
        <w:pStyle w:val="Compact"/>
        <w:numPr>
          <w:ilvl w:val="0"/>
          <w:numId w:val="1003"/>
        </w:numPr>
      </w:pPr>
      <w:r>
        <w:t xml:space="preserve">Higher inpatient, outpatient or specialty-drug utilization.</w:t>
      </w:r>
    </w:p>
    <w:p>
      <w:pPr>
        <w:pStyle w:val="Compact"/>
        <w:numPr>
          <w:ilvl w:val="0"/>
          <w:numId w:val="1003"/>
        </w:numPr>
      </w:pPr>
      <w:r>
        <w:t xml:space="preserve">A more cautious tone on second-half medical costs.</w:t>
      </w:r>
    </w:p>
    <w:p>
      <w:pPr>
        <w:pStyle w:val="FirstParagraph"/>
      </w:pPr>
      <w:r>
        <w:t xml:space="preserve">Investors should distinguish underlying utilization from reserve development and seasonal business-mix effects.</w:t>
      </w:r>
    </w:p>
    <w:bookmarkEnd w:id="15"/>
    <w:bookmarkStart w:id="18" w:name="Xf52f9f02eb7a4d73e9b63a65eec192004a0e3e5"/>
    <w:p>
      <w:pPr>
        <w:pStyle w:val="Heading2"/>
      </w:pPr>
      <w:r>
        <w:t xml:space="preserve">2. Evernorth’s mix matters more than its consolidated growth</w:t>
      </w:r>
    </w:p>
    <w:p>
      <w:pPr>
        <w:pStyle w:val="FirstParagraph"/>
      </w:pPr>
      <w:r>
        <w:t xml:space="preserve">Evernorth’s Q1 headline was superficially modest—pretax adjusted earnings increased only 2%—but the underlying businesses moved in opposite directions:</w:t>
      </w:r>
    </w:p>
    <w:p>
      <w:pPr>
        <w:pStyle w:val="Compact"/>
        <w:numPr>
          <w:ilvl w:val="0"/>
          <w:numId w:val="1004"/>
        </w:numPr>
      </w:pPr>
      <w:r>
        <w:rPr>
          <w:b/>
          <w:bCs/>
        </w:rPr>
        <w:t xml:space="preserve">Specialty and Care Services earnings rose 20%</w:t>
      </w:r>
      <w:r>
        <w:t xml:space="preserve"> </w:t>
      </w:r>
      <w:r>
        <w:t xml:space="preserve">to $1.07 billion.</w:t>
      </w:r>
    </w:p>
    <w:p>
      <w:pPr>
        <w:pStyle w:val="Compact"/>
        <w:numPr>
          <w:ilvl w:val="0"/>
          <w:numId w:val="1004"/>
        </w:numPr>
      </w:pPr>
      <w:r>
        <w:rPr>
          <w:b/>
          <w:bCs/>
        </w:rPr>
        <w:t xml:space="preserve">Pharmacy Benefit Services earnings fell 28%</w:t>
      </w:r>
      <w:r>
        <w:t xml:space="preserve"> </w:t>
      </w:r>
      <w:r>
        <w:t xml:space="preserve">to $394 million.</w:t>
      </w:r>
    </w:p>
    <w:p>
      <w:pPr>
        <w:pStyle w:val="FirstParagraph"/>
      </w:pPr>
      <w:r>
        <w:t xml:space="preserve">The PBM decline was expected and reflected revised economics on several large client contracts plus investment in Cigna’s new rebate-free</w:t>
      </w:r>
      <w:r>
        <w:t xml:space="preserve"> </w:t>
      </w:r>
      <w:r>
        <w:rPr>
          <w:b/>
          <w:bCs/>
        </w:rPr>
        <w:t xml:space="preserve">Signature</w:t>
      </w:r>
      <w:r>
        <w:t xml:space="preserve"> </w:t>
      </w:r>
      <w:r>
        <w:t xml:space="preserve">model. Specialty strength came from volume, biosimilar and specialty-generic adoption, and the contribution from Shields Health Solutions.</w:t>
      </w:r>
    </w:p>
    <w:p>
      <w:pPr>
        <w:pStyle w:val="BodyText"/>
      </w:pPr>
      <w:r>
        <w:t xml:space="preserve">For Q2, investors should focus on:</w:t>
      </w:r>
    </w:p>
    <w:bookmarkStart w:id="16" w:name="specialty-and-care-services"/>
    <w:p>
      <w:pPr>
        <w:pStyle w:val="Heading3"/>
      </w:pPr>
      <w:r>
        <w:t xml:space="preserve">Specialty and Care Services</w:t>
      </w:r>
    </w:p>
    <w:p>
      <w:pPr>
        <w:pStyle w:val="FirstParagraph"/>
      </w:pPr>
      <w:r>
        <w:t xml:space="preserve">Cigna previously said this business should perform at the high end of its 8%–12% long-term growth range in 2026. Another quarter of double-digit earnings growth would validate specialty as the company’s principal growth engine.</w:t>
      </w:r>
    </w:p>
    <w:p>
      <w:pPr>
        <w:pStyle w:val="BodyText"/>
      </w:pPr>
      <w:r>
        <w:t xml:space="preserve">Important drivers include:</w:t>
      </w:r>
    </w:p>
    <w:p>
      <w:pPr>
        <w:pStyle w:val="Compact"/>
        <w:numPr>
          <w:ilvl w:val="0"/>
          <w:numId w:val="1005"/>
        </w:numPr>
      </w:pPr>
      <w:r>
        <w:t xml:space="preserve">Accredo prescription volumes.</w:t>
      </w:r>
    </w:p>
    <w:p>
      <w:pPr>
        <w:pStyle w:val="Compact"/>
        <w:numPr>
          <w:ilvl w:val="0"/>
          <w:numId w:val="1005"/>
        </w:numPr>
      </w:pPr>
      <w:r>
        <w:t xml:space="preserve">Continued Humira and Stelara biosimilar conversions.</w:t>
      </w:r>
    </w:p>
    <w:p>
      <w:pPr>
        <w:pStyle w:val="Compact"/>
        <w:numPr>
          <w:ilvl w:val="0"/>
          <w:numId w:val="1005"/>
        </w:numPr>
      </w:pPr>
      <w:r>
        <w:t xml:space="preserve">Greater availability of generic Revlimid.</w:t>
      </w:r>
    </w:p>
    <w:p>
      <w:pPr>
        <w:pStyle w:val="Compact"/>
        <w:numPr>
          <w:ilvl w:val="0"/>
          <w:numId w:val="1005"/>
        </w:numPr>
      </w:pPr>
      <w:r>
        <w:t xml:space="preserve">Contributions from Shields and CarepathRx.</w:t>
      </w:r>
    </w:p>
    <w:p>
      <w:pPr>
        <w:pStyle w:val="Compact"/>
        <w:numPr>
          <w:ilvl w:val="0"/>
          <w:numId w:val="1005"/>
        </w:numPr>
      </w:pPr>
      <w:r>
        <w:t xml:space="preserve">Whether mix toward lower-cost therapies continues to lift margins despite reducing reported revenue.</w:t>
      </w:r>
    </w:p>
    <w:bookmarkEnd w:id="16"/>
    <w:bookmarkStart w:id="17" w:name="pharmacy-benefit-services"/>
    <w:p>
      <w:pPr>
        <w:pStyle w:val="Heading3"/>
      </w:pPr>
      <w:r>
        <w:t xml:space="preserve">Pharmacy Benefit Services</w:t>
      </w:r>
    </w:p>
    <w:p>
      <w:pPr>
        <w:pStyle w:val="FirstParagraph"/>
      </w:pPr>
      <w:r>
        <w:t xml:space="preserve">Management said Q1’s approximately $150 million year-over-year earnings decline was consistent with plan, while Signature-related investment would become more weighted toward the second half.</w:t>
      </w:r>
    </w:p>
    <w:p>
      <w:pPr>
        <w:pStyle w:val="BodyText"/>
      </w:pPr>
      <w:r>
        <w:t xml:space="preserve">The critical test is therefore not whether PBS earnings decline, but whether they decline</w:t>
      </w:r>
      <w:r>
        <w:t xml:space="preserve"> </w:t>
      </w:r>
      <w:r>
        <w:rPr>
          <w:b/>
          <w:bCs/>
        </w:rPr>
        <w:t xml:space="preserve">by the expected amount</w:t>
      </w:r>
      <w:r>
        <w:t xml:space="preserve">. Investors will want confirmation that:</w:t>
      </w:r>
    </w:p>
    <w:p>
      <w:pPr>
        <w:pStyle w:val="Compact"/>
        <w:numPr>
          <w:ilvl w:val="0"/>
          <w:numId w:val="1006"/>
        </w:numPr>
      </w:pPr>
      <w:r>
        <w:t xml:space="preserve">Large-client renewal economics are tracking the original plan.</w:t>
      </w:r>
    </w:p>
    <w:p>
      <w:pPr>
        <w:pStyle w:val="Compact"/>
        <w:numPr>
          <w:ilvl w:val="0"/>
          <w:numId w:val="1006"/>
        </w:numPr>
      </w:pPr>
      <w:r>
        <w:t xml:space="preserve">Incremental Signature spending remains within guidance.</w:t>
      </w:r>
    </w:p>
    <w:p>
      <w:pPr>
        <w:pStyle w:val="Compact"/>
        <w:numPr>
          <w:ilvl w:val="0"/>
          <w:numId w:val="1006"/>
        </w:numPr>
      </w:pPr>
      <w:r>
        <w:t xml:space="preserve">Traditional PBM margins are stabilizing.</w:t>
      </w:r>
    </w:p>
    <w:p>
      <w:pPr>
        <w:pStyle w:val="Compact"/>
        <w:numPr>
          <w:ilvl w:val="0"/>
          <w:numId w:val="1006"/>
        </w:numPr>
      </w:pPr>
      <w:r>
        <w:t xml:space="preserve">2027 retention remains in the mid-90% range or better.</w:t>
      </w:r>
    </w:p>
    <w:p>
      <w:pPr>
        <w:pStyle w:val="Compact"/>
        <w:numPr>
          <w:ilvl w:val="0"/>
          <w:numId w:val="1006"/>
        </w:numPr>
      </w:pPr>
      <w:r>
        <w:t xml:space="preserve">Early 2028 client interest in Signature is developing as anticipated.</w:t>
      </w:r>
    </w:p>
    <w:p>
      <w:pPr>
        <w:pStyle w:val="FirstParagraph"/>
      </w:pPr>
      <w:r>
        <w:t xml:space="preserve">An EPS beat produced by strong medical underwriting but accompanied by deterioration in PBM economics would probably receive a mixed reaction.</w:t>
      </w:r>
    </w:p>
    <w:bookmarkEnd w:id="17"/>
    <w:bookmarkEnd w:id="18"/>
    <w:bookmarkStart w:id="19" w:name="X422d8366001373392dde529c91db1c45041d4aa"/>
    <w:p>
      <w:pPr>
        <w:pStyle w:val="Heading2"/>
      </w:pPr>
      <w:r>
        <w:t xml:space="preserve">3. Guidance is the likely stock catalyst</w:t>
      </w:r>
    </w:p>
    <w:p>
      <w:pPr>
        <w:pStyle w:val="FirstParagraph"/>
      </w:pPr>
      <w:r>
        <w:t xml:space="preserve">Cigna raised full-year adjusted EPS guidance by $0.10 after Q1 to</w:t>
      </w:r>
      <w:r>
        <w:t xml:space="preserve"> </w:t>
      </w:r>
      <w:r>
        <w:rPr>
          <w:b/>
          <w:bCs/>
        </w:rPr>
        <w:t xml:space="preserve">at least $30.35</w:t>
      </w:r>
      <w:r>
        <w:t xml:space="preserve"> </w:t>
      </w:r>
      <w:r>
        <w:t xml:space="preserve">and reaffirmed that figure in May. Segment guidance currently calls for at least $6.9 billion of Evernorth pretax earnings and $4.525 billion from Cigna Healthcare. (</w:t>
      </w:r>
      <w:hyperlink r:id="rId13">
        <w:r>
          <w:rPr>
            <w:rStyle w:val="Hyperlink"/>
          </w:rPr>
          <w:t xml:space="preserve">sec.gov</w:t>
        </w:r>
      </w:hyperlink>
      <w:r>
        <w:t xml:space="preserve">)</w:t>
      </w:r>
    </w:p>
    <w:p>
      <w:pPr>
        <w:pStyle w:val="BodyText"/>
      </w:pPr>
      <w:r>
        <w:t xml:space="preserve">At consensus, first-half adjusted EPS would total approximately</w:t>
      </w:r>
      <w:r>
        <w:t xml:space="preserve"> </w:t>
      </w:r>
      <w:r>
        <w:rPr>
          <w:b/>
          <w:bCs/>
        </w:rPr>
        <w:t xml:space="preserve">$15.36</w:t>
      </w:r>
      <w:r>
        <w:t xml:space="preserve">, leaving about $14.99 required in the second half to reach the current floor. That appears manageable, but second-half Signature investments and normal medical-cost seasonality argue against assuming a large guidance increase.</w:t>
      </w:r>
    </w:p>
    <w:p>
      <w:pPr>
        <w:pStyle w:val="BodyText"/>
      </w:pPr>
      <w:r>
        <w:t xml:space="preserve">A reiteration would not necessarily be disappointing if management preserves conservatism and delivers strong underlying results. Still, a raise—particularly one supported by both segments rather than buybacks alone—would be the clearest positive catalyst.</w:t>
      </w:r>
    </w:p>
    <w:p>
      <w:pPr>
        <w:pStyle w:val="BodyText"/>
      </w:pPr>
      <w:r>
        <w:t xml:space="preserve">Investors should also examine whether EPS guidance benefits from a lower share count while segment earnings expectations remain unchanged.</w:t>
      </w:r>
    </w:p>
    <w:bookmarkEnd w:id="19"/>
    <w:bookmarkStart w:id="20" w:name="X56389ba8f4d3767dc4af17fc765ff1787067793"/>
    <w:p>
      <w:pPr>
        <w:pStyle w:val="Heading2"/>
      </w:pPr>
      <w:r>
        <w:t xml:space="preserve">4. Brian Evanko’s first earnings call as CEO</w:t>
      </w:r>
    </w:p>
    <w:p>
      <w:pPr>
        <w:pStyle w:val="FirstParagraph"/>
      </w:pPr>
      <w:r>
        <w:t xml:space="preserve">Brian Evanko became CEO on July 1, making this his first quarterly call in the role. Strategy is unlikely to change abruptly before Cigna’s September Investor Day, but his comments may shape expectations around:</w:t>
      </w:r>
    </w:p>
    <w:p>
      <w:pPr>
        <w:pStyle w:val="Compact"/>
        <w:numPr>
          <w:ilvl w:val="0"/>
          <w:numId w:val="1007"/>
        </w:numPr>
      </w:pPr>
      <w:r>
        <w:t xml:space="preserve">The long-term profitability of the PBM platform.</w:t>
      </w:r>
    </w:p>
    <w:p>
      <w:pPr>
        <w:pStyle w:val="Compact"/>
        <w:numPr>
          <w:ilvl w:val="0"/>
          <w:numId w:val="1007"/>
        </w:numPr>
      </w:pPr>
      <w:r>
        <w:t xml:space="preserve">Signature implementation and client conversion.</w:t>
      </w:r>
    </w:p>
    <w:p>
      <w:pPr>
        <w:pStyle w:val="Compact"/>
        <w:numPr>
          <w:ilvl w:val="0"/>
          <w:numId w:val="1007"/>
        </w:numPr>
      </w:pPr>
      <w:r>
        <w:t xml:space="preserve">Use of AI and analytics in medical-cost management.</w:t>
      </w:r>
    </w:p>
    <w:p>
      <w:pPr>
        <w:pStyle w:val="Compact"/>
        <w:numPr>
          <w:ilvl w:val="0"/>
          <w:numId w:val="1007"/>
        </w:numPr>
      </w:pPr>
      <w:r>
        <w:t xml:space="preserve">Capital allocation and bolt-on acquisitions.</w:t>
      </w:r>
    </w:p>
    <w:p>
      <w:pPr>
        <w:pStyle w:val="Compact"/>
        <w:numPr>
          <w:ilvl w:val="0"/>
          <w:numId w:val="1007"/>
        </w:numPr>
      </w:pPr>
      <w:r>
        <w:t xml:space="preserve">The strategic review of eviCore.</w:t>
      </w:r>
    </w:p>
    <w:p>
      <w:pPr>
        <w:pStyle w:val="Compact"/>
        <w:numPr>
          <w:ilvl w:val="0"/>
          <w:numId w:val="1007"/>
        </w:numPr>
      </w:pPr>
      <w:r>
        <w:t xml:space="preserve">The planned exit from individual-exchange insurance after 2026.</w:t>
      </w:r>
    </w:p>
    <w:p>
      <w:pPr>
        <w:pStyle w:val="FirstParagraph"/>
      </w:pPr>
      <w:r>
        <w:t xml:space="preserve">Investors will particularly want details on whether eviCore could be sold or partnered, the timing of a potential transaction, and whether separating the business would create stranded costs.</w:t>
      </w:r>
    </w:p>
    <w:bookmarkEnd w:id="20"/>
    <w:bookmarkStart w:id="21" w:name="stock-setup"/>
    <w:p>
      <w:pPr>
        <w:pStyle w:val="Heading2"/>
      </w:pPr>
      <w:r>
        <w:t xml:space="preserve">Stock setup</w:t>
      </w:r>
    </w:p>
    <w:p>
      <w:pPr>
        <w:pStyle w:val="FirstParagraph"/>
      </w:pPr>
      <w:r>
        <w:t xml:space="preserve">CI closed July 29 at approximately</w:t>
      </w:r>
      <w:r>
        <w:t xml:space="preserve"> </w:t>
      </w:r>
      <w:r>
        <w:rPr>
          <w:b/>
          <w:bCs/>
        </w:rPr>
        <w:t xml:space="preserve">$297.82</w:t>
      </w:r>
      <w:r>
        <w:t xml:space="preserve">, up about 8% year to date. The shares trade at roughly</w:t>
      </w:r>
      <w:r>
        <w:t xml:space="preserve"> </w:t>
      </w:r>
      <w:r>
        <w:rPr>
          <w:b/>
          <w:bCs/>
        </w:rPr>
        <w:t xml:space="preserve">9.8 times</w:t>
      </w:r>
      <w:r>
        <w:t xml:space="preserve"> </w:t>
      </w:r>
      <w:r>
        <w:t xml:space="preserve">the company’s $30.35 EPS floor.</w:t>
      </w:r>
    </w:p>
    <w:p>
      <w:pPr>
        <w:pStyle w:val="BodyText"/>
      </w:pPr>
      <w:r>
        <w:t xml:space="preserve">That valuation suggests substantial skepticism is already embedded around PBM durability, regulatory risk and longer-term earnings quality. It also means a clean report with stable medical costs, durable specialty growth and a guidance increase could support meaningful upside. Conversely, a weak MCR or evidence of deeper PBM margin compression could reinforce the low multiple.</w:t>
      </w:r>
    </w:p>
    <w:bookmarkEnd w:id="21"/>
    <w:bookmarkStart w:id="22" w:name="scenario-framework"/>
    <w:p>
      <w:pPr>
        <w:pStyle w:val="Heading2"/>
      </w:pPr>
      <w:r>
        <w:t xml:space="preserve">Scenario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Scenario</w:t>
            </w:r>
          </w:p>
        </w:tc>
        <w:tc>
          <w:tcPr/>
          <w:p>
            <w:pPr>
              <w:pStyle w:val="Compact"/>
            </w:pPr>
            <w:r>
              <w:t xml:space="preserve">What it might look like</w:t>
            </w:r>
          </w:p>
        </w:tc>
      </w:tr>
      <w:tr>
        <w:tc>
          <w:tcPr/>
          <w:p>
            <w:pPr>
              <w:pStyle w:val="Compact"/>
            </w:pPr>
            <w:r>
              <w:rPr>
                <w:b/>
                <w:bCs/>
              </w:rPr>
              <w:t xml:space="preserve">Bull case</w:t>
            </w:r>
          </w:p>
        </w:tc>
        <w:tc>
          <w:tcPr/>
          <w:p>
            <w:pPr>
              <w:pStyle w:val="Compact"/>
            </w:pPr>
            <w:r>
              <w:t xml:space="preserve">EPS above roughly $7.70; MCR below expectations; double-digit Specialty earnings growth; PBS pressure contained; full-year EPS guidance raised.</w:t>
            </w:r>
          </w:p>
        </w:tc>
      </w:tr>
      <w:tr>
        <w:tc>
          <w:tcPr/>
          <w:p>
            <w:pPr>
              <w:pStyle w:val="Compact"/>
            </w:pPr>
            <w:r>
              <w:rPr>
                <w:b/>
                <w:bCs/>
              </w:rPr>
              <w:t xml:space="preserve">Base case</w:t>
            </w:r>
          </w:p>
        </w:tc>
        <w:tc>
          <w:tcPr/>
          <w:p>
            <w:pPr>
              <w:pStyle w:val="Compact"/>
            </w:pPr>
            <w:r>
              <w:t xml:space="preserve">EPS around</w:t>
            </w:r>
            <w:r>
              <w:t xml:space="preserve"> </w:t>
            </w:r>
            <m:oMath>
              <m:r>
                <m:t>7.55</m:t>
              </m:r>
              <m:r>
                <m:rPr>
                  <m:sty m:val="p"/>
                </m:rPr>
                <m:t>–</m:t>
              </m:r>
            </m:oMath>
            <w:r>
              <w:t xml:space="preserve">7.65; MCR around 84.7%–85.0%; Specialty remains strong; PBM performs according to plan; guidance reiterated or raised modestly.</w:t>
            </w:r>
          </w:p>
        </w:tc>
      </w:tr>
      <w:tr>
        <w:tc>
          <w:tcPr/>
          <w:p>
            <w:pPr>
              <w:pStyle w:val="Compact"/>
            </w:pPr>
            <w:r>
              <w:rPr>
                <w:b/>
                <w:bCs/>
              </w:rPr>
              <w:t xml:space="preserve">Bear case</w:t>
            </w:r>
          </w:p>
        </w:tc>
        <w:tc>
          <w:tcPr/>
          <w:p>
            <w:pPr>
              <w:pStyle w:val="Compact"/>
            </w:pPr>
            <w:r>
              <w:t xml:space="preserve">EPS below $7.50; MCR meaningfully above 85%; weaker Specialty margins or larger PBM investment drag; cautious commentary on cost trend or client retention.</w:t>
            </w:r>
          </w:p>
        </w:tc>
      </w:tr>
    </w:tbl>
    <w:bookmarkEnd w:id="22"/>
    <w:bookmarkStart w:id="23" w:name="bottom-line"/>
    <w:p>
      <w:pPr>
        <w:pStyle w:val="Heading2"/>
      </w:pPr>
      <w:r>
        <w:t xml:space="preserve">Bottom line</w:t>
      </w:r>
    </w:p>
    <w:p>
      <w:pPr>
        <w:pStyle w:val="FirstParagraph"/>
      </w:pPr>
      <w:r>
        <w:t xml:space="preserve">The headline bar is straightforward: approximately</w:t>
      </w:r>
      <w:r>
        <w:t xml:space="preserve"> </w:t>
      </w:r>
      <w:r>
        <w:rPr>
          <w:b/>
          <w:bCs/>
        </w:rPr>
        <w:t xml:space="preserve">$7.57 of adjusted EPS and $70.4 billion of revenue</w:t>
      </w:r>
      <w:r>
        <w:t xml:space="preserve">. But the report’s real significance will come from the composition of earnings.</w:t>
      </w:r>
    </w:p>
    <w:p>
      <w:pPr>
        <w:pStyle w:val="BodyText"/>
      </w:pPr>
      <w:r>
        <w:t xml:space="preserve">The strongest outcome would combine:</w:t>
      </w:r>
    </w:p>
    <w:p>
      <w:pPr>
        <w:pStyle w:val="Compact"/>
        <w:numPr>
          <w:ilvl w:val="0"/>
          <w:numId w:val="1008"/>
        </w:numPr>
      </w:pPr>
      <w:r>
        <w:t xml:space="preserve">Controlled medical utilization,</w:t>
      </w:r>
    </w:p>
    <w:p>
      <w:pPr>
        <w:pStyle w:val="Compact"/>
        <w:numPr>
          <w:ilvl w:val="0"/>
          <w:numId w:val="1008"/>
        </w:numPr>
      </w:pPr>
      <w:r>
        <w:t xml:space="preserve">Continued double-digit Specialty and Care Services growth,</w:t>
      </w:r>
    </w:p>
    <w:p>
      <w:pPr>
        <w:pStyle w:val="Compact"/>
        <w:numPr>
          <w:ilvl w:val="0"/>
          <w:numId w:val="1008"/>
        </w:numPr>
      </w:pPr>
      <w:r>
        <w:t xml:space="preserve">No incremental deterioration in PBM economics,</w:t>
      </w:r>
    </w:p>
    <w:p>
      <w:pPr>
        <w:pStyle w:val="Compact"/>
        <w:numPr>
          <w:ilvl w:val="0"/>
          <w:numId w:val="1008"/>
        </w:numPr>
      </w:pPr>
      <w:r>
        <w:t xml:space="preserve">Stable 2027 retention,</w:t>
      </w:r>
    </w:p>
    <w:p>
      <w:pPr>
        <w:pStyle w:val="Compact"/>
        <w:numPr>
          <w:ilvl w:val="0"/>
          <w:numId w:val="1008"/>
        </w:numPr>
      </w:pPr>
      <w:r>
        <w:t xml:space="preserve">And a higher full-year EPS floor.</w:t>
      </w:r>
    </w:p>
    <w:p>
      <w:pPr>
        <w:pStyle w:val="FirstParagraph"/>
      </w:pPr>
      <w:r>
        <w:t xml:space="preserve">The principal downside risk is that Q1’s unusually favorable medical-cost performance reverses at the same time Signature investments and large-client contract resets pressure Evernorth. For CI shares,</w:t>
      </w:r>
      <w:r>
        <w:t xml:space="preserve"> </w:t>
      </w:r>
      <w:r>
        <w:rPr>
          <w:b/>
          <w:bCs/>
        </w:rPr>
        <w:t xml:space="preserve">MCR, Specialty earnings and guidance are likely to matter considerably more than the revenue headline</w:t>
      </w:r>
      <w:r>
        <w:t xml:space="preserve">.</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newsroom.thecignagroup.com/2026-07-07-The-Cigna-Groups-Second-Quarter-2026-Earnings-Release-Details?utm_source=openai" TargetMode="External" /><Relationship Type="http://schemas.openxmlformats.org/officeDocument/2006/relationships/hyperlink" Id="rId14" Target="https://s202.q4cdn.com/757723766/files/doc_earnings/2026/q1/transcript/1Q26-transcript.pdf" TargetMode="External" /><Relationship Type="http://schemas.openxmlformats.org/officeDocument/2006/relationships/hyperlink" Id="rId10" Target="https://www.benzinga.com/quote/CI/earnings" TargetMode="External" /><Relationship Type="http://schemas.openxmlformats.org/officeDocument/2006/relationships/hyperlink" Id="rId13" Target="https://www.sec.gov/Archives/edgar/data/1739940/000114036126017971/ef20071317_ex99-1.htm" TargetMode="External" /></Relationships>
</file>

<file path=word/_rels/footnotes.xml.rels><?xml version="1.0" encoding="UTF-8"?><Relationships xmlns="http://schemas.openxmlformats.org/package/2006/relationships"><Relationship Type="http://schemas.openxmlformats.org/officeDocument/2006/relationships/hyperlink" Id="rId9" Target="https://newsroom.thecignagroup.com/2026-07-07-The-Cigna-Groups-Second-Quarter-2026-Earnings-Release-Details?utm_source=openai" TargetMode="External" /><Relationship Type="http://schemas.openxmlformats.org/officeDocument/2006/relationships/hyperlink" Id="rId14" Target="https://s202.q4cdn.com/757723766/files/doc_earnings/2026/q1/transcript/1Q26-transcript.pdf" TargetMode="External" /><Relationship Type="http://schemas.openxmlformats.org/officeDocument/2006/relationships/hyperlink" Id="rId10" Target="https://www.benzinga.com/quote/CI/earnings" TargetMode="External" /><Relationship Type="http://schemas.openxmlformats.org/officeDocument/2006/relationships/hyperlink" Id="rId13" Target="https://www.sec.gov/Archives/edgar/data/1739940/000114036126017971/ef20071317_ex99-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2026-07-29T18:10:42Z</dcterms:created>
  <dcterms:modified xsi:type="dcterms:W3CDTF">2026-07-29T18:10:42Z</dcterms:modified>
</cp:coreProperties>
</file>

<file path=docProps/custom.xml><?xml version="1.0" encoding="utf-8"?>
<Properties xmlns="http://schemas.openxmlformats.org/officeDocument/2006/custom-properties" xmlns:vt="http://schemas.openxmlformats.org/officeDocument/2006/docPropsVTypes"/>
</file>