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bb4177e596cddad2267a03088b2fd9d84e1bc8e"/>
    <w:p>
      <w:pPr>
        <w:pStyle w:val="Heading1"/>
      </w:pPr>
      <w:r>
        <w:t xml:space="preserve">The Cigna Group (NYSE: CI) — 2Q26 Earnings Preview</w:t>
      </w:r>
    </w:p>
    <w:p>
      <w:pPr>
        <w:pStyle w:val="FirstParagraph"/>
      </w:pPr>
      <w:r>
        <w:rPr>
          <w:b/>
          <w:bCs/>
        </w:rPr>
        <w:t xml:space="preserve">Event:</w:t>
      </w:r>
      <w:r>
        <w:t xml:space="preserve"> </w:t>
      </w:r>
      <w:r>
        <w:t xml:space="preserve">Thursday, July 30, 2026</w:t>
      </w:r>
      <w:r>
        <w:br/>
      </w:r>
      <w:r>
        <w:rPr>
          <w:b/>
          <w:bCs/>
        </w:rPr>
        <w:t xml:space="preserve">Results:</w:t>
      </w:r>
      <w:r>
        <w:t xml:space="preserve"> </w:t>
      </w:r>
      <w:r>
        <w:t xml:space="preserve">by 6:30 a.m. ET |</w:t>
      </w:r>
      <w:r>
        <w:t xml:space="preserve"> </w:t>
      </w:r>
      <w:r>
        <w:rPr>
          <w:b/>
          <w:bCs/>
        </w:rPr>
        <w:t xml:space="preserve">Conference call:</w:t>
      </w:r>
      <w:r>
        <w:t xml:space="preserve"> </w:t>
      </w:r>
      <w:r>
        <w:t xml:space="preserve">8:30 a.m. ET</w:t>
      </w:r>
      <w:r>
        <w:br/>
      </w:r>
      <w:r>
        <w:rPr>
          <w:b/>
          <w:bCs/>
        </w:rPr>
        <w:t xml:space="preserve">Stock reference:</w:t>
      </w:r>
      <w:r>
        <w:t xml:space="preserve"> </w:t>
      </w:r>
      <w:r>
        <w:t xml:space="preserve">CI closed at</w:t>
      </w:r>
      <w:r>
        <w:t xml:space="preserve"> </w:t>
      </w:r>
      <w:r>
        <w:rPr>
          <w:b/>
          <w:bCs/>
        </w:rPr>
        <w:t xml:space="preserve">$297.15 on July 29</w:t>
      </w:r>
      <w:r>
        <w:t xml:space="preserve">, up roughly</w:t>
      </w:r>
      <w:r>
        <w:t xml:space="preserve"> </w:t>
      </w:r>
      <w:r>
        <w:rPr>
          <w:b/>
          <w:bCs/>
        </w:rPr>
        <w:t xml:space="preserve">6.5% year to date</w:t>
      </w:r>
      <w:r>
        <w:t xml:space="preserve">.</w:t>
      </w:r>
    </w:p>
    <w:bookmarkStart w:id="9" w:name="bottom-line"/>
    <w:p>
      <w:pPr>
        <w:pStyle w:val="Heading2"/>
      </w:pPr>
      <w:r>
        <w:t xml:space="preserve">Bottom line</w:t>
      </w:r>
    </w:p>
    <w:p>
      <w:pPr>
        <w:pStyle w:val="FirstParagraph"/>
      </w:pPr>
      <w:r>
        <w:t xml:space="preserve">CI enters 2Q with a favorable setup operationally but a relatively clear bar: management explicitly framed</w:t>
      </w:r>
      <w:r>
        <w:t xml:space="preserve"> </w:t>
      </w:r>
      <w:r>
        <w:rPr>
          <w:b/>
          <w:bCs/>
        </w:rPr>
        <w:t xml:space="preserve">2Q adjusted EPS at approximately 25% of its full-year outlook</w:t>
      </w:r>
      <w:r>
        <w:t xml:space="preserve">. On the current</w:t>
      </w:r>
      <w:r>
        <w:t xml:space="preserve"> </w:t>
      </w:r>
      <w:r>
        <w:rPr>
          <w:b/>
          <w:bCs/>
        </w:rPr>
        <w:t xml:space="preserve">at-least-</w:t>
      </w:r>
      <m:oMath>
        <m:r>
          <m:t>30.35</m:t>
        </m:r>
        <m:r>
          <m:rPr>
            <m:sty m:val="p"/>
          </m:rPr>
          <m:t>*</m:t>
        </m:r>
        <m:r>
          <m:rPr>
            <m:sty m:val="p"/>
          </m:rPr>
          <m:t>*</m:t>
        </m:r>
        <m:r>
          <m:t>F</m:t>
        </m:r>
        <m:r>
          <m:t>Y</m:t>
        </m:r>
        <m:r>
          <m:t>26</m:t>
        </m:r>
        <m:r>
          <m:t>a</m:t>
        </m:r>
        <m:r>
          <m:t>d</m:t>
        </m:r>
        <m:r>
          <m:t>j</m:t>
        </m:r>
        <m:r>
          <m:t>u</m:t>
        </m:r>
        <m:r>
          <m:t>s</m:t>
        </m:r>
        <m:r>
          <m:t>t</m:t>
        </m:r>
        <m:r>
          <m:t>e</m:t>
        </m:r>
        <m:r>
          <m:t>d</m:t>
        </m:r>
        <m:r>
          <m:rPr>
            <m:sty m:val="p"/>
          </m:rPr>
          <m:t>−</m:t>
        </m:r>
        <m:r>
          <m:t>E</m:t>
        </m:r>
        <m:r>
          <m:t>P</m:t>
        </m:r>
        <m:r>
          <m:t>S</m:t>
        </m:r>
        <m:r>
          <m:t>g</m:t>
        </m:r>
        <m:r>
          <m:t>u</m:t>
        </m:r>
        <m:r>
          <m:t>i</m:t>
        </m:r>
        <m:r>
          <m:t>d</m:t>
        </m:r>
        <m:r>
          <m:t>e</m:t>
        </m:r>
        <m:r>
          <m:rPr>
            <m:sty m:val="p"/>
          </m:rPr>
          <m:t>,</m:t>
        </m:r>
        <m:r>
          <m:t>t</m:t>
        </m:r>
        <m:r>
          <m:t>h</m:t>
        </m:r>
        <m:r>
          <m:t>a</m:t>
        </m:r>
        <m:r>
          <m:t>t</m:t>
        </m:r>
        <m:r>
          <m:t>i</m:t>
        </m:r>
        <m:r>
          <m:t>m</m:t>
        </m:r>
        <m:r>
          <m:t>p</m:t>
        </m:r>
        <m:r>
          <m:t>l</m:t>
        </m:r>
        <m:r>
          <m:t>i</m:t>
        </m:r>
        <m:r>
          <m:t>e</m:t>
        </m:r>
        <m:r>
          <m:t>s</m:t>
        </m:r>
        <m:r>
          <m:t>r</m:t>
        </m:r>
        <m:r>
          <m:t>o</m:t>
        </m:r>
        <m:r>
          <m:t>u</m:t>
        </m:r>
        <m:r>
          <m:t>g</m:t>
        </m:r>
        <m:r>
          <m:t>h</m:t>
        </m:r>
        <m:r>
          <m:t>l</m:t>
        </m:r>
        <m:r>
          <m:t>y</m:t>
        </m:r>
        <m:r>
          <m:rPr>
            <m:sty m:val="p"/>
          </m:rPr>
          <m:t>*</m:t>
        </m:r>
        <m:r>
          <m:rPr>
            <m:sty m:val="p"/>
          </m:rPr>
          <m:t>*</m:t>
        </m:r>
      </m:oMath>
      <w:r>
        <w:rPr>
          <w:b/>
          <w:bCs/>
        </w:rPr>
        <w:t xml:space="preserve">7.59 of 2Q adjusted EPS</w:t>
      </w:r>
      <w:r>
        <w:t xml:space="preserve">. The key question is therefore less whether CI can produce a solid headline number, and more whether it can</w:t>
      </w:r>
      <w:r>
        <w:t xml:space="preserve"> </w:t>
      </w:r>
      <w:r>
        <w:rPr>
          <w:b/>
          <w:bCs/>
        </w:rPr>
        <w:t xml:space="preserve">reaffirm or raise</w:t>
      </w:r>
      <w:r>
        <w:t xml:space="preserve"> </w:t>
      </w:r>
      <w:r>
        <w:t xml:space="preserve">its full-year outlook while demonstrating that:</w:t>
      </w:r>
    </w:p>
    <w:p>
      <w:pPr>
        <w:pStyle w:val="Compact"/>
        <w:numPr>
          <w:ilvl w:val="0"/>
          <w:numId w:val="1001"/>
        </w:numPr>
      </w:pPr>
      <w:r>
        <w:rPr>
          <w:b/>
          <w:bCs/>
        </w:rPr>
        <w:t xml:space="preserve">Cigna Healthcare medical-cost performance remains controlled</w:t>
      </w:r>
      <w:r>
        <w:t xml:space="preserve"> </w:t>
      </w:r>
      <w:r>
        <w:t xml:space="preserve">as the MCR steps up seasonally;</w:t>
      </w:r>
    </w:p>
    <w:p>
      <w:pPr>
        <w:pStyle w:val="Compact"/>
        <w:numPr>
          <w:ilvl w:val="0"/>
          <w:numId w:val="1001"/>
        </w:numPr>
      </w:pPr>
      <w:r>
        <w:rPr>
          <w:b/>
          <w:bCs/>
        </w:rPr>
        <w:t xml:space="preserve">Evernorth Specialty &amp; Care</w:t>
      </w:r>
      <w:r>
        <w:t xml:space="preserve"> </w:t>
      </w:r>
      <w:r>
        <w:t xml:space="preserve">continues to offset expected Pharmacy Benefit Services (PBS) pressure;</w:t>
      </w:r>
    </w:p>
    <w:p>
      <w:pPr>
        <w:pStyle w:val="Compact"/>
        <w:numPr>
          <w:ilvl w:val="0"/>
          <w:numId w:val="1001"/>
        </w:numPr>
      </w:pPr>
      <w:r>
        <w:t xml:space="preserve">The new</w:t>
      </w:r>
      <w:r>
        <w:t xml:space="preserve"> </w:t>
      </w:r>
      <w:r>
        <w:rPr>
          <w:b/>
          <w:bCs/>
        </w:rPr>
        <w:t xml:space="preserve">Signature</w:t>
      </w:r>
      <w:r>
        <w:t xml:space="preserve"> </w:t>
      </w:r>
      <w:r>
        <w:t xml:space="preserve">rebate-free PBM model is gaining commercial traction without creating incremental near-term earnings drag; and</w:t>
      </w:r>
    </w:p>
    <w:p>
      <w:pPr>
        <w:pStyle w:val="Compact"/>
        <w:numPr>
          <w:ilvl w:val="0"/>
          <w:numId w:val="1001"/>
        </w:numPr>
      </w:pPr>
      <w:r>
        <w:t xml:space="preserve">New CEO</w:t>
      </w:r>
      <w:r>
        <w:t xml:space="preserve"> </w:t>
      </w:r>
      <w:r>
        <w:rPr>
          <w:b/>
          <w:bCs/>
        </w:rPr>
        <w:t xml:space="preserve">Brian Evanko</w:t>
      </w:r>
      <w:r>
        <w:t xml:space="preserve"> </w:t>
      </w:r>
      <w:r>
        <w:t xml:space="preserve">establishes continuity and credibility on capital allocation, portfolio shaping, and long-term growth.</w:t>
      </w:r>
    </w:p>
    <w:p>
      <w:pPr>
        <w:pStyle w:val="FirstParagraph"/>
      </w:pPr>
      <w:r>
        <w:t xml:space="preserve">The Q1 report gave CI meaningful cushion: adjusted EPS of</w:t>
      </w:r>
      <w:r>
        <w:t xml:space="preserve"> </w:t>
      </w:r>
      <w:r>
        <w:rPr>
          <w:b/>
          <w:bCs/>
        </w:rPr>
        <w:t xml:space="preserve">$7.79</w:t>
      </w:r>
      <w:r>
        <w:t xml:space="preserve"> </w:t>
      </w:r>
      <w:r>
        <w:t xml:space="preserve">was up 16% year over year, Cigna Healthcare beat internal expectations, and FY26 guidance was lifted by $0.10 to at least $30.35. CI then reaffirmed that guide at its May investor meetings. That combination makes a full-year guide cut unlikely absent a material change in medical-cost trends or PBM economics—but it also raises the bar for an upside surprise.</w:t>
      </w:r>
    </w:p>
    <w:p>
      <w:r>
        <w:pict>
          <v:rect style="width:0;height:1.5pt" o:hralign="center" o:hrstd="t" o:hr="t"/>
        </w:pict>
      </w:r>
    </w:p>
    <w:bookmarkEnd w:id="9"/>
    <w:bookmarkStart w:id="10" w:name="X4e852f4ecbaff093acd1420b511a89fe64cf681"/>
    <w:p>
      <w:pPr>
        <w:pStyle w:val="Heading2"/>
      </w:pPr>
      <w:r>
        <w:t xml:space="preserve">What management has told investors to expect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Management framework entering 2Q26</w:t>
            </w:r>
          </w:p>
        </w:tc>
        <w:tc>
          <w:tcPr/>
          <w:p>
            <w:pPr>
              <w:pStyle w:val="Compact"/>
            </w:pPr>
            <w:r>
              <w:t xml:space="preserve">Why it matters</w:t>
            </w:r>
          </w:p>
        </w:tc>
      </w:tr>
      <w:tr>
        <w:tc>
          <w:tcPr/>
          <w:p>
            <w:pPr>
              <w:pStyle w:val="Compact"/>
            </w:pPr>
            <w:r>
              <w:rPr>
                <w:b/>
                <w:bCs/>
              </w:rPr>
              <w:t xml:space="preserve">Adjusted EPS</w:t>
            </w:r>
          </w:p>
        </w:tc>
        <w:tc>
          <w:tcPr/>
          <w:p>
            <w:pPr>
              <w:pStyle w:val="Compact"/>
              <w:jc w:val="right"/>
            </w:pPr>
            <w:r>
              <w:t xml:space="preserve">Approximately</w:t>
            </w:r>
            <w:r>
              <w:t xml:space="preserve"> </w:t>
            </w:r>
            <w:r>
              <w:rPr>
                <w:b/>
                <w:bCs/>
              </w:rPr>
              <w:t xml:space="preserve">25% of FY26 adjusted EPS outlook</w:t>
            </w:r>
          </w:p>
        </w:tc>
        <w:tc>
          <w:tcPr/>
          <w:p>
            <w:pPr>
              <w:pStyle w:val="Compact"/>
            </w:pPr>
            <w:r>
              <w:t xml:space="preserve">Implies approximately</w:t>
            </w:r>
            <w:r>
              <w:t xml:space="preserve"> </w:t>
            </w:r>
            <w:r>
              <w:rPr>
                <w:b/>
                <w:bCs/>
              </w:rPr>
              <w:t xml:space="preserve">$7.59</w:t>
            </w:r>
            <w:r>
              <w:t xml:space="preserve">, using the $30.35 annual guide</w:t>
            </w:r>
          </w:p>
        </w:tc>
      </w:tr>
      <w:tr>
        <w:tc>
          <w:tcPr/>
          <w:p>
            <w:pPr>
              <w:pStyle w:val="Compact"/>
            </w:pPr>
            <w:r>
              <w:rPr>
                <w:b/>
                <w:bCs/>
              </w:rPr>
              <w:t xml:space="preserve">FY26 adjusted EPS</w:t>
            </w:r>
          </w:p>
        </w:tc>
        <w:tc>
          <w:tcPr/>
          <w:p>
            <w:pPr>
              <w:pStyle w:val="Compact"/>
              <w:jc w:val="right"/>
            </w:pPr>
            <w:r>
              <w:t xml:space="preserve">At least</w:t>
            </w:r>
            <w:r>
              <w:t xml:space="preserve"> </w:t>
            </w:r>
            <w:r>
              <w:rPr>
                <w:b/>
                <w:bCs/>
              </w:rPr>
              <w:t xml:space="preserve">$30.35</w:t>
            </w:r>
          </w:p>
        </w:tc>
        <w:tc>
          <w:tcPr/>
          <w:p>
            <w:pPr>
              <w:pStyle w:val="Compact"/>
            </w:pPr>
            <w:r>
              <w:t xml:space="preserve">The principal headline and most important stock-moving item</w:t>
            </w:r>
          </w:p>
        </w:tc>
      </w:tr>
      <w:tr>
        <w:tc>
          <w:tcPr/>
          <w:p>
            <w:pPr>
              <w:pStyle w:val="Compact"/>
            </w:pPr>
            <w:r>
              <w:rPr>
                <w:b/>
                <w:bCs/>
              </w:rPr>
              <w:t xml:space="preserve">Evernorth pretax adjusted income</w:t>
            </w:r>
          </w:p>
        </w:tc>
        <w:tc>
          <w:tcPr/>
          <w:p>
            <w:pPr>
              <w:pStyle w:val="Compact"/>
              <w:jc w:val="right"/>
            </w:pPr>
            <w:r>
              <w:t xml:space="preserve">At least</w:t>
            </w:r>
            <w:r>
              <w:t xml:space="preserve"> </w:t>
            </w:r>
            <w:r>
              <w:rPr>
                <w:b/>
                <w:bCs/>
              </w:rPr>
              <w:t xml:space="preserve">$6.9B</w:t>
            </w:r>
            <w:r>
              <w:t xml:space="preserve"> </w:t>
            </w:r>
            <w:r>
              <w:t xml:space="preserve">for FY26</w:t>
            </w:r>
          </w:p>
        </w:tc>
        <w:tc>
          <w:tcPr/>
          <w:p>
            <w:pPr>
              <w:pStyle w:val="Compact"/>
            </w:pPr>
            <w:r>
              <w:t xml:space="preserve">Specialty growth must offset PBS contract and investment headwinds</w:t>
            </w:r>
          </w:p>
        </w:tc>
      </w:tr>
      <w:tr>
        <w:tc>
          <w:tcPr/>
          <w:p>
            <w:pPr>
              <w:pStyle w:val="Compact"/>
            </w:pPr>
            <w:r>
              <w:rPr>
                <w:b/>
                <w:bCs/>
              </w:rPr>
              <w:t xml:space="preserve">Cigna Healthcare pretax adjusted income</w:t>
            </w:r>
          </w:p>
        </w:tc>
        <w:tc>
          <w:tcPr/>
          <w:p>
            <w:pPr>
              <w:pStyle w:val="Compact"/>
              <w:jc w:val="right"/>
            </w:pPr>
            <w:r>
              <w:t xml:space="preserve">At least</w:t>
            </w:r>
            <w:r>
              <w:t xml:space="preserve"> </w:t>
            </w:r>
            <w:r>
              <w:rPr>
                <w:b/>
                <w:bCs/>
              </w:rPr>
              <w:t xml:space="preserve">$4.525B</w:t>
            </w:r>
            <w:r>
              <w:t xml:space="preserve"> </w:t>
            </w:r>
            <w:r>
              <w:t xml:space="preserve">for FY26</w:t>
            </w:r>
          </w:p>
        </w:tc>
        <w:tc>
          <w:tcPr/>
          <w:p>
            <w:pPr>
              <w:pStyle w:val="Compact"/>
            </w:pPr>
            <w:r>
              <w:t xml:space="preserve">Q1 strength led to a $25M increase in this outlook</w:t>
            </w:r>
          </w:p>
        </w:tc>
      </w:tr>
      <w:tr>
        <w:tc>
          <w:tcPr/>
          <w:p>
            <w:pPr>
              <w:pStyle w:val="Compact"/>
            </w:pPr>
            <w:r>
              <w:rPr>
                <w:b/>
                <w:bCs/>
              </w:rPr>
              <w:t xml:space="preserve">Cigna Healthcare MCR</w:t>
            </w:r>
          </w:p>
        </w:tc>
        <w:tc>
          <w:tcPr/>
          <w:p>
            <w:pPr>
              <w:pStyle w:val="Compact"/>
              <w:jc w:val="right"/>
            </w:pPr>
            <w:r>
              <w:rPr>
                <w:b/>
                <w:bCs/>
              </w:rPr>
              <w:t xml:space="preserve">83.7%–84.7%</w:t>
            </w:r>
            <w:r>
              <w:t xml:space="preserve"> </w:t>
            </w:r>
            <w:r>
              <w:t xml:space="preserve">for FY26</w:t>
            </w:r>
          </w:p>
        </w:tc>
        <w:tc>
          <w:tcPr/>
          <w:p>
            <w:pPr>
              <w:pStyle w:val="Compact"/>
            </w:pPr>
            <w:r>
              <w:t xml:space="preserve">Management said 2Q should be</w:t>
            </w:r>
            <w:r>
              <w:t xml:space="preserve"> </w:t>
            </w:r>
            <w:r>
              <w:rPr>
                <w:b/>
                <w:bCs/>
              </w:rPr>
              <w:t xml:space="preserve">slightly above the high end</w:t>
            </w:r>
            <w:r>
              <w:t xml:space="preserve"> </w:t>
            </w:r>
            <w:r>
              <w:t xml:space="preserve">of the full-year range</w:t>
            </w:r>
          </w:p>
        </w:tc>
      </w:tr>
      <w:tr>
        <w:tc>
          <w:tcPr/>
          <w:p>
            <w:pPr>
              <w:pStyle w:val="Compact"/>
            </w:pPr>
            <w:r>
              <w:rPr>
                <w:b/>
                <w:bCs/>
              </w:rPr>
              <w:t xml:space="preserve">Cigna Healthcare earnings cadence</w:t>
            </w:r>
          </w:p>
        </w:tc>
        <w:tc>
          <w:tcPr/>
          <w:p>
            <w:pPr>
              <w:pStyle w:val="Compact"/>
              <w:jc w:val="right"/>
            </w:pPr>
            <w:r>
              <w:t xml:space="preserve">First half slightly above</w:t>
            </w:r>
            <w:r>
              <w:t xml:space="preserve"> </w:t>
            </w:r>
            <w:r>
              <w:rPr>
                <w:b/>
                <w:bCs/>
              </w:rPr>
              <w:t xml:space="preserve">60%</w:t>
            </w:r>
            <w:r>
              <w:t xml:space="preserve"> </w:t>
            </w:r>
            <w:r>
              <w:t xml:space="preserve">of FY26 segment earnings</w:t>
            </w:r>
          </w:p>
        </w:tc>
        <w:tc>
          <w:tcPr/>
          <w:p>
            <w:pPr>
              <w:pStyle w:val="Compact"/>
            </w:pPr>
            <w:r>
              <w:t xml:space="preserve">Q2 should remain a substantial contributor despite a higher seasonal MCR</w:t>
            </w:r>
          </w:p>
        </w:tc>
      </w:tr>
    </w:tbl>
    <w:p>
      <w:pPr>
        <w:pStyle w:val="BodyText"/>
      </w:pPr>
      <w:r>
        <w:rPr>
          <w:b/>
          <w:bCs/>
        </w:rPr>
        <w:t xml:space="preserve">Important framing:</w:t>
      </w:r>
      <w:r>
        <w:t xml:space="preserve"> </w:t>
      </w:r>
      <w:r>
        <w:t xml:space="preserve">a Q2 MCR above 84.7% should not be viewed automatically as a miss. Management specifically guided to a second-quarter MCR modestly above the annual range due to normal seasonality, the post-Medicare-divestiture business mix, a greater mix of Bronze exchange members, and timing effects from Q1 care deferrals.</w:t>
      </w:r>
    </w:p>
    <w:p>
      <w:r>
        <w:pict>
          <v:rect style="width:0;height:1.5pt" o:hralign="center" o:hrstd="t" o:hr="t"/>
        </w:pict>
      </w:r>
    </w:p>
    <w:bookmarkEnd w:id="10"/>
    <w:bookmarkStart w:id="13" w:name="Xe5a252af2bf3e563d8995d77c9a6f1f9d2bd6ea"/>
    <w:p>
      <w:pPr>
        <w:pStyle w:val="Heading2"/>
      </w:pPr>
      <w:r>
        <w:t xml:space="preserve">The core debate: Can CI retain its medical-cost discipline?</w:t>
      </w:r>
    </w:p>
    <w:bookmarkStart w:id="11" w:name="why-the-setup-is-constructive"/>
    <w:p>
      <w:pPr>
        <w:pStyle w:val="Heading3"/>
      </w:pPr>
      <w:r>
        <w:t xml:space="preserve">Why the setup is constructive</w:t>
      </w:r>
    </w:p>
    <w:p>
      <w:pPr>
        <w:pStyle w:val="FirstParagraph"/>
      </w:pPr>
      <w:r>
        <w:t xml:space="preserve">Cigna Healthcare posted a</w:t>
      </w:r>
      <w:r>
        <w:t xml:space="preserve"> </w:t>
      </w:r>
      <w:r>
        <w:rPr>
          <w:b/>
          <w:bCs/>
        </w:rPr>
        <w:t xml:space="preserve">79.8% MCR in Q1</w:t>
      </w:r>
      <w:r>
        <w:t xml:space="preserve">, materially below the 82.2% recorded a year earlier. Management attributed the better-than-expected result to disciplined pricing and execution, lower flu/respiratory volumes, weather-related deferral of care, and exchange-business mix.</w:t>
      </w:r>
    </w:p>
    <w:p>
      <w:pPr>
        <w:pStyle w:val="BodyText"/>
      </w:pPr>
      <w:r>
        <w:t xml:space="preserve">Crucially, management said healthcare cost trends remain</w:t>
      </w:r>
      <w:r>
        <w:t xml:space="preserve"> </w:t>
      </w:r>
      <w:r>
        <w:rPr>
          <w:b/>
          <w:bCs/>
        </w:rPr>
        <w:t xml:space="preserve">elevated but have not accelerated</w:t>
      </w:r>
      <w:r>
        <w:t xml:space="preserve">. That distinction matters: CI has priced for higher cost trends, so stable rather than worsening utilization supports the credibility of the FY26 guide.</w:t>
      </w:r>
    </w:p>
    <w:p>
      <w:pPr>
        <w:pStyle w:val="BodyText"/>
      </w:pPr>
      <w:r>
        <w:t xml:space="preserve">The underlying Cigna Healthcare business is now more concentrated in commercial employer and international markets following the March 2025 sale of its Medicare businesses to HCSC. In Q1, adjusted revenue excluding divested businesses grew</w:t>
      </w:r>
      <w:r>
        <w:t xml:space="preserve"> </w:t>
      </w:r>
      <w:r>
        <w:rPr>
          <w:b/>
          <w:bCs/>
        </w:rPr>
        <w:t xml:space="preserve">8%</w:t>
      </w:r>
      <w:r>
        <w:t xml:space="preserve">, primarily through premium-rate increases intended to cover expected medical-cost inflation. Segment pretax adjusted income rose</w:t>
      </w:r>
      <w:r>
        <w:t xml:space="preserve"> </w:t>
      </w:r>
      <w:r>
        <w:rPr>
          <w:b/>
          <w:bCs/>
        </w:rPr>
        <w:t xml:space="preserve">18%</w:t>
      </w:r>
      <w:r>
        <w:t xml:space="preserve"> </w:t>
      </w:r>
      <w:r>
        <w:t xml:space="preserve">to</w:t>
      </w:r>
      <w:r>
        <w:t xml:space="preserve"> </w:t>
      </w:r>
      <w:r>
        <w:rPr>
          <w:b/>
          <w:bCs/>
        </w:rPr>
        <w:t xml:space="preserve">$1.514B</w:t>
      </w:r>
      <w:r>
        <w:t xml:space="preserve">.</w:t>
      </w:r>
    </w:p>
    <w:bookmarkEnd w:id="11"/>
    <w:bookmarkStart w:id="12" w:name="what-investors-need-to-watch"/>
    <w:p>
      <w:pPr>
        <w:pStyle w:val="Heading3"/>
      </w:pPr>
      <w:r>
        <w:t xml:space="preserve">What investors need to watch</w:t>
      </w:r>
    </w:p>
    <w:p>
      <w:pPr>
        <w:pStyle w:val="Compact"/>
        <w:numPr>
          <w:ilvl w:val="0"/>
          <w:numId w:val="1002"/>
        </w:numPr>
      </w:pPr>
      <w:r>
        <w:rPr>
          <w:b/>
          <w:bCs/>
        </w:rPr>
        <w:t xml:space="preserve">MCR versus the stated seasonal framework.</w:t>
      </w:r>
      <w:r>
        <w:t xml:space="preserve"> </w:t>
      </w:r>
      <w:r>
        <w:t xml:space="preserve">The reported number matters, but management’s explanation of utilization, acuity, and reserve development matters more.</w:t>
      </w:r>
    </w:p>
    <w:p>
      <w:pPr>
        <w:pStyle w:val="Compact"/>
        <w:numPr>
          <w:ilvl w:val="0"/>
          <w:numId w:val="1002"/>
        </w:numPr>
      </w:pPr>
      <w:r>
        <w:rPr>
          <w:b/>
          <w:bCs/>
        </w:rPr>
        <w:t xml:space="preserve">Medical-cost trend commentary.</w:t>
      </w:r>
      <w:r>
        <w:t xml:space="preserve"> </w:t>
      </w:r>
      <w:r>
        <w:t xml:space="preserve">Watch for any suggestion that outpatient, inpatient, behavioral, specialty-drug, or GLP-1 costs have accelerated beyond pricing assumptions.</w:t>
      </w:r>
    </w:p>
    <w:p>
      <w:pPr>
        <w:pStyle w:val="Compact"/>
        <w:numPr>
          <w:ilvl w:val="0"/>
          <w:numId w:val="1002"/>
        </w:numPr>
      </w:pPr>
      <w:r>
        <w:rPr>
          <w:b/>
          <w:bCs/>
        </w:rPr>
        <w:t xml:space="preserve">Prior-year reserve development.</w:t>
      </w:r>
      <w:r>
        <w:t xml:space="preserve"> </w:t>
      </w:r>
      <w:r>
        <w:t xml:space="preserve">Q1 included</w:t>
      </w:r>
      <w:r>
        <w:t xml:space="preserve"> </w:t>
      </w:r>
      <w:r>
        <w:rPr>
          <w:b/>
          <w:bCs/>
        </w:rPr>
        <w:t xml:space="preserve">$188M of favorable gross pretax reserve development</w:t>
      </w:r>
      <w:r>
        <w:t xml:space="preserve">, versus $222M a year earlier. A lower contribution would be unsurprising; a sharp adverse development would be more concerning.</w:t>
      </w:r>
    </w:p>
    <w:p>
      <w:pPr>
        <w:pStyle w:val="Compact"/>
        <w:numPr>
          <w:ilvl w:val="0"/>
          <w:numId w:val="1002"/>
        </w:numPr>
      </w:pPr>
      <w:r>
        <w:rPr>
          <w:b/>
          <w:bCs/>
        </w:rPr>
        <w:t xml:space="preserve">Employer retention and pricing.</w:t>
      </w:r>
      <w:r>
        <w:t xml:space="preserve"> </w:t>
      </w:r>
      <w:r>
        <w:t xml:space="preserve">CI’s commercial focus makes retention, rate adequacy, and 2027 selling-season commentary key indicators of durability.</w:t>
      </w:r>
    </w:p>
    <w:p>
      <w:pPr>
        <w:pStyle w:val="Compact"/>
        <w:numPr>
          <w:ilvl w:val="0"/>
          <w:numId w:val="1002"/>
        </w:numPr>
      </w:pPr>
      <w:r>
        <w:rPr>
          <w:b/>
          <w:bCs/>
        </w:rPr>
        <w:t xml:space="preserve">ACA exchange exit.</w:t>
      </w:r>
      <w:r>
        <w:t xml:space="preserve"> </w:t>
      </w:r>
      <w:r>
        <w:t xml:space="preserve">CI plans to exit its individual exchange business at the end of 2026. The business is not material to the enterprise thesis, but investors will want confirmation that the exit remains financially and operationally orderly.</w:t>
      </w:r>
    </w:p>
    <w:p>
      <w:r>
        <w:pict>
          <v:rect style="width:0;height:1.5pt" o:hralign="center" o:hrstd="t" o:hr="t"/>
        </w:pict>
      </w:r>
    </w:p>
    <w:bookmarkEnd w:id="12"/>
    <w:bookmarkEnd w:id="13"/>
    <w:bookmarkStart w:id="16" w:name="X89d226ef8f6bc492d8ceebc6b0dc6d3ec78ef81"/>
    <w:p>
      <w:pPr>
        <w:pStyle w:val="Heading2"/>
      </w:pPr>
      <w:r>
        <w:t xml:space="preserve">Evernorth: Specialty strength must continue to cover PBS pressure</w:t>
      </w:r>
    </w:p>
    <w:p>
      <w:pPr>
        <w:pStyle w:val="FirstParagraph"/>
      </w:pPr>
      <w:r>
        <w:t xml:space="preserve">Evernorth remains the most important long-term earnings engine, but its two major components are moving in opposite directions.</w:t>
      </w:r>
    </w:p>
    <w:bookmarkStart w:id="14" w:name="Xe11ab05420806714d873c04c8700a88c60d748c"/>
    <w:p>
      <w:pPr>
        <w:pStyle w:val="Heading3"/>
      </w:pPr>
      <w:r>
        <w:t xml:space="preserve">Specialty &amp; Care Services: the upside lever</w:t>
      </w:r>
    </w:p>
    <w:p>
      <w:pPr>
        <w:pStyle w:val="FirstParagraph"/>
      </w:pPr>
      <w:r>
        <w:t xml:space="preserve">In Q1, Specialty &amp; Care Services delivered:</w:t>
      </w:r>
    </w:p>
    <w:p>
      <w:pPr>
        <w:pStyle w:val="Compact"/>
        <w:numPr>
          <w:ilvl w:val="0"/>
          <w:numId w:val="1003"/>
        </w:numPr>
      </w:pPr>
      <w:r>
        <w:rPr>
          <w:b/>
          <w:bCs/>
        </w:rPr>
        <w:t xml:space="preserve">6% adjusted-revenue growth</w:t>
      </w:r>
    </w:p>
    <w:p>
      <w:pPr>
        <w:pStyle w:val="Compact"/>
        <w:numPr>
          <w:ilvl w:val="0"/>
          <w:numId w:val="1003"/>
        </w:numPr>
      </w:pPr>
      <w:r>
        <w:rPr>
          <w:b/>
          <w:bCs/>
        </w:rPr>
        <w:t xml:space="preserve">20% pretax adjusted-income growth</w:t>
      </w:r>
      <w:r>
        <w:t xml:space="preserve"> </w:t>
      </w:r>
      <w:r>
        <w:t xml:space="preserve">to</w:t>
      </w:r>
      <w:r>
        <w:t xml:space="preserve"> </w:t>
      </w:r>
      <w:r>
        <w:rPr>
          <w:b/>
          <w:bCs/>
        </w:rPr>
        <w:t xml:space="preserve">$1.072B</w:t>
      </w:r>
    </w:p>
    <w:p>
      <w:pPr>
        <w:pStyle w:val="Compact"/>
        <w:numPr>
          <w:ilvl w:val="0"/>
          <w:numId w:val="1003"/>
        </w:numPr>
      </w:pPr>
      <w:r>
        <w:t xml:space="preserve">Strong specialty volume growth</w:t>
      </w:r>
    </w:p>
    <w:p>
      <w:pPr>
        <w:pStyle w:val="Compact"/>
        <w:numPr>
          <w:ilvl w:val="0"/>
          <w:numId w:val="1003"/>
        </w:numPr>
      </w:pPr>
      <w:r>
        <w:t xml:space="preserve">Rising biosimilar and specialty-generic adoption</w:t>
      </w:r>
    </w:p>
    <w:p>
      <w:pPr>
        <w:pStyle w:val="Compact"/>
        <w:numPr>
          <w:ilvl w:val="0"/>
          <w:numId w:val="1003"/>
        </w:numPr>
      </w:pPr>
      <w:r>
        <w:t xml:space="preserve">Contributions from the investment in</w:t>
      </w:r>
      <w:r>
        <w:t xml:space="preserve"> </w:t>
      </w:r>
      <w:r>
        <w:rPr>
          <w:b/>
          <w:bCs/>
        </w:rPr>
        <w:t xml:space="preserve">Shields Health Solutions</w:t>
      </w:r>
    </w:p>
    <w:p>
      <w:pPr>
        <w:pStyle w:val="FirstParagraph"/>
      </w:pPr>
      <w:r>
        <w:t xml:space="preserve">Management characterized the segment as its fastest-growing platform and expects it to operate at the high end of its</w:t>
      </w:r>
      <w:r>
        <w:t xml:space="preserve"> </w:t>
      </w:r>
      <w:r>
        <w:rPr>
          <w:b/>
          <w:bCs/>
        </w:rPr>
        <w:t xml:space="preserve">8%–12% annual growth</w:t>
      </w:r>
      <w:r>
        <w:t xml:space="preserve"> </w:t>
      </w:r>
      <w:r>
        <w:t xml:space="preserve">framework. Key drivers include the secular growth in specialty medicines, greater adoption of lower-cost biosimilars—including Humira and Stelara alternatives—and the expanded hospital/health-system capabilities from CarepathRx and Shields.</w:t>
      </w:r>
    </w:p>
    <w:p>
      <w:pPr>
        <w:pStyle w:val="BodyText"/>
      </w:pPr>
      <w:r>
        <w:rPr>
          <w:b/>
          <w:bCs/>
        </w:rPr>
        <w:t xml:space="preserve">For 2Q:</w:t>
      </w:r>
      <w:r>
        <w:t xml:space="preserve"> </w:t>
      </w:r>
      <w:r>
        <w:t xml:space="preserve">another quarter of strong Specialty &amp; Care earnings would validate that CI is successfully repositioning toward higher-value pharmacy and care services. The quality of growth matters: volume growth, biosimilar conversion, mix, and margins should be watched more closely than reported revenue alone.</w:t>
      </w:r>
    </w:p>
    <w:bookmarkEnd w:id="14"/>
    <w:bookmarkStart w:id="15" w:name="X39c0ce0315e11bdc77213ca269187ecd9394875"/>
    <w:p>
      <w:pPr>
        <w:pStyle w:val="Heading3"/>
      </w:pPr>
      <w:r>
        <w:t xml:space="preserve">Pharmacy Benefit Services: expected pressure, but strategic optionality</w:t>
      </w:r>
    </w:p>
    <w:p>
      <w:pPr>
        <w:pStyle w:val="FirstParagraph"/>
      </w:pPr>
      <w:r>
        <w:t xml:space="preserve">PBS was the weak point in Q1, with pretax adjusted income down</w:t>
      </w:r>
      <w:r>
        <w:t xml:space="preserve"> </w:t>
      </w:r>
      <w:r>
        <w:rPr>
          <w:b/>
          <w:bCs/>
        </w:rPr>
        <w:t xml:space="preserve">28%</w:t>
      </w:r>
      <w:r>
        <w:t xml:space="preserve"> </w:t>
      </w:r>
      <w:r>
        <w:t xml:space="preserve">year over year to</w:t>
      </w:r>
      <w:r>
        <w:t xml:space="preserve"> </w:t>
      </w:r>
      <w:r>
        <w:rPr>
          <w:b/>
          <w:bCs/>
        </w:rPr>
        <w:t xml:space="preserve">$394M</w:t>
      </w:r>
      <w:r>
        <w:t xml:space="preserve">. The decline reflected:</w:t>
      </w:r>
    </w:p>
    <w:p>
      <w:pPr>
        <w:pStyle w:val="Compact"/>
        <w:numPr>
          <w:ilvl w:val="0"/>
          <w:numId w:val="1004"/>
        </w:numPr>
      </w:pPr>
      <w:r>
        <w:t xml:space="preserve">previously disclosed renewals/extensions with several large clients, and</w:t>
      </w:r>
    </w:p>
    <w:p>
      <w:pPr>
        <w:pStyle w:val="Compact"/>
        <w:numPr>
          <w:ilvl w:val="0"/>
          <w:numId w:val="1004"/>
        </w:numPr>
      </w:pPr>
      <w:r>
        <w:t xml:space="preserve">investment in CI’s new rebate-free pharmacy-benefit model,</w:t>
      </w:r>
      <w:r>
        <w:t xml:space="preserve"> </w:t>
      </w:r>
      <w:r>
        <w:rPr>
          <w:b/>
          <w:bCs/>
        </w:rPr>
        <w:t xml:space="preserve">Signature</w:t>
      </w:r>
      <w:r>
        <w:t xml:space="preserve">.</w:t>
      </w:r>
    </w:p>
    <w:p>
      <w:pPr>
        <w:pStyle w:val="FirstParagraph"/>
      </w:pPr>
      <w:r>
        <w:t xml:space="preserve">Management indicated that Signature investment spending is weighted toward the second half of 2026, meaning the quarter could show more visible pressure in PBS profitability even if the year remains on plan.</w:t>
      </w:r>
    </w:p>
    <w:p>
      <w:pPr>
        <w:pStyle w:val="BodyText"/>
      </w:pPr>
      <w:r>
        <w:t xml:space="preserve">The strategic question is whether Signature can modernize CI’s PBM offering and protect its competitive position amid regulatory and employer demand for greater drug-price transparency. CI expects Signature to become its standard PBS model in 2028 and targets at least</w:t>
      </w:r>
      <w:r>
        <w:t xml:space="preserve"> </w:t>
      </w:r>
      <w:r>
        <w:rPr>
          <w:b/>
          <w:bCs/>
        </w:rPr>
        <w:t xml:space="preserve">50% of PBS members</w:t>
      </w:r>
      <w:r>
        <w:t xml:space="preserve"> </w:t>
      </w:r>
      <w:r>
        <w:t xml:space="preserve">on the model by year-end 2028. For 2027, management has cited mid-90%-plus retention and early new-business wins, but investors will want more tangible evidence on adoption and economics.</w:t>
      </w:r>
    </w:p>
    <w:p>
      <w:pPr>
        <w:pStyle w:val="BodyText"/>
      </w:pPr>
      <w:r>
        <w:rPr>
          <w:b/>
          <w:bCs/>
        </w:rPr>
        <w:t xml:space="preserve">For 2Q, listen for:</w:t>
      </w:r>
    </w:p>
    <w:p>
      <w:pPr>
        <w:pStyle w:val="Compact"/>
        <w:numPr>
          <w:ilvl w:val="0"/>
          <w:numId w:val="1005"/>
        </w:numPr>
      </w:pPr>
      <w:r>
        <w:t xml:space="preserve">Updated 2027 PBS retention and new-sales commentary;</w:t>
      </w:r>
    </w:p>
    <w:p>
      <w:pPr>
        <w:pStyle w:val="Compact"/>
        <w:numPr>
          <w:ilvl w:val="0"/>
          <w:numId w:val="1005"/>
        </w:numPr>
      </w:pPr>
      <w:r>
        <w:t xml:space="preserve">Whether implementation/investment costs remain within plan;</w:t>
      </w:r>
    </w:p>
    <w:p>
      <w:pPr>
        <w:pStyle w:val="Compact"/>
        <w:numPr>
          <w:ilvl w:val="0"/>
          <w:numId w:val="1005"/>
        </w:numPr>
      </w:pPr>
      <w:r>
        <w:t xml:space="preserve">Any change in anticipated 2028 Signature adoption;</w:t>
      </w:r>
    </w:p>
    <w:p>
      <w:pPr>
        <w:pStyle w:val="Compact"/>
        <w:numPr>
          <w:ilvl w:val="0"/>
          <w:numId w:val="1005"/>
        </w:numPr>
      </w:pPr>
      <w:r>
        <w:t xml:space="preserve">Updates on large-client economics and joint-venture structures;</w:t>
      </w:r>
    </w:p>
    <w:p>
      <w:pPr>
        <w:pStyle w:val="Compact"/>
        <w:numPr>
          <w:ilvl w:val="0"/>
          <w:numId w:val="1005"/>
        </w:numPr>
      </w:pPr>
      <w:r>
        <w:t xml:space="preserve">Commentary on drug pricing, rebates, pharmacy networks, and regulatory exposure.</w:t>
      </w:r>
    </w:p>
    <w:p>
      <w:r>
        <w:pict>
          <v:rect style="width:0;height:1.5pt" o:hralign="center" o:hrstd="t" o:hr="t"/>
        </w:pict>
      </w:r>
    </w:p>
    <w:bookmarkEnd w:id="15"/>
    <w:bookmarkEnd w:id="16"/>
    <w:bookmarkStart w:id="19" w:name="X672515ef81808381bd1c912e0756664efda0f71"/>
    <w:p>
      <w:pPr>
        <w:pStyle w:val="Heading2"/>
      </w:pPr>
      <w:r>
        <w:t xml:space="preserve">GLP-1s, biosimilars, and the drug-cost equation</w:t>
      </w:r>
    </w:p>
    <w:p>
      <w:pPr>
        <w:pStyle w:val="FirstParagraph"/>
      </w:pPr>
      <w:r>
        <w:t xml:space="preserve">CI’s pharmacy thesis depends on its ability to help clients manage high-cost drug categories while maintaining value to patients.</w:t>
      </w:r>
    </w:p>
    <w:bookmarkStart w:id="17" w:name="glp-1s"/>
    <w:p>
      <w:pPr>
        <w:pStyle w:val="Heading3"/>
      </w:pPr>
      <w:r>
        <w:t xml:space="preserve">GLP-1s</w:t>
      </w:r>
    </w:p>
    <w:p>
      <w:pPr>
        <w:pStyle w:val="FirstParagraph"/>
      </w:pPr>
      <w:r>
        <w:t xml:space="preserve">Management said coverage for weight-management GLP-1s has remained broadly stable: approximately</w:t>
      </w:r>
      <w:r>
        <w:t xml:space="preserve"> </w:t>
      </w:r>
      <w:r>
        <w:rPr>
          <w:b/>
          <w:bCs/>
        </w:rPr>
        <w:t xml:space="preserve">50%</w:t>
      </w:r>
      <w:r>
        <w:t xml:space="preserve"> </w:t>
      </w:r>
      <w:r>
        <w:t xml:space="preserve">of Evernorth clients and</w:t>
      </w:r>
      <w:r>
        <w:t xml:space="preserve"> </w:t>
      </w:r>
      <w:r>
        <w:rPr>
          <w:b/>
          <w:bCs/>
        </w:rPr>
        <w:t xml:space="preserve">20%</w:t>
      </w:r>
      <w:r>
        <w:t xml:space="preserve"> </w:t>
      </w:r>
      <w:r>
        <w:t xml:space="preserve">of Cigna Healthcare clients, with differing employer-market exposures. More than</w:t>
      </w:r>
      <w:r>
        <w:t xml:space="preserve"> </w:t>
      </w:r>
      <w:r>
        <w:rPr>
          <w:b/>
          <w:bCs/>
        </w:rPr>
        <w:t xml:space="preserve">12 million</w:t>
      </w:r>
      <w:r>
        <w:t xml:space="preserve"> </w:t>
      </w:r>
      <w:r>
        <w:t xml:space="preserve">people were enrolled in CI’s EnCircle program as of the Q1 call.</w:t>
      </w:r>
    </w:p>
    <w:p>
      <w:pPr>
        <w:pStyle w:val="BodyText"/>
      </w:pPr>
      <w:r>
        <w:t xml:space="preserve">The key issue is not simply GLP-1 utilization; it is the balance between employer demand, affordability, clinical adherence, and potential savings from future oral formulations and lower net prices. Investors should look for signs that this category is either tracking within assumptions or becoming a greater source of client budget pressure.</w:t>
      </w:r>
    </w:p>
    <w:bookmarkEnd w:id="17"/>
    <w:bookmarkStart w:id="18" w:name="biosimilars-and-specialty-generics"/>
    <w:p>
      <w:pPr>
        <w:pStyle w:val="Heading3"/>
      </w:pPr>
      <w:r>
        <w:t xml:space="preserve">Biosimilars and specialty generics</w:t>
      </w:r>
    </w:p>
    <w:p>
      <w:pPr>
        <w:pStyle w:val="FirstParagraph"/>
      </w:pPr>
      <w:r>
        <w:t xml:space="preserve">This is a clearer positive. CI has promoted zero-out-of-pocket biosimilar options in categories including Humira and Stelara, and expects generic Revlimid availability to improve as supply constraints ease. Higher biosimilar conversion can reduce client costs while supporting Evernorth’s specialty margin and clinical value proposition.</w:t>
      </w:r>
    </w:p>
    <w:p>
      <w:r>
        <w:pict>
          <v:rect style="width:0;height:1.5pt" o:hralign="center" o:hrstd="t" o:hr="t"/>
        </w:pict>
      </w:r>
    </w:p>
    <w:bookmarkEnd w:id="18"/>
    <w:bookmarkEnd w:id="19"/>
    <w:bookmarkStart w:id="20" w:name="Xf39843116cdddccbe6a9c018514fbb03148524d"/>
    <w:p>
      <w:pPr>
        <w:pStyle w:val="Heading2"/>
      </w:pPr>
      <w:r>
        <w:t xml:space="preserve">Leadership transition: the first report under Brian Evanko</w:t>
      </w:r>
    </w:p>
    <w:p>
      <w:pPr>
        <w:pStyle w:val="FirstParagraph"/>
      </w:pPr>
      <w:r>
        <w:t xml:space="preserve">This is the first quarterly report since</w:t>
      </w:r>
      <w:r>
        <w:t xml:space="preserve"> </w:t>
      </w:r>
      <w:r>
        <w:rPr>
          <w:b/>
          <w:bCs/>
        </w:rPr>
        <w:t xml:space="preserve">Brian Evanko became CEO on July 1, 2026</w:t>
      </w:r>
      <w:r>
        <w:t xml:space="preserve">; former CEO David Cordani moved to Executive Chair.</w:t>
      </w:r>
    </w:p>
    <w:p>
      <w:pPr>
        <w:pStyle w:val="BodyText"/>
      </w:pPr>
      <w:r>
        <w:t xml:space="preserve">The immediate implication should be continuity rather than a reset. Evanko’s stated priorities are:</w:t>
      </w:r>
    </w:p>
    <w:p>
      <w:pPr>
        <w:pStyle w:val="Compact"/>
        <w:numPr>
          <w:ilvl w:val="0"/>
          <w:numId w:val="1006"/>
        </w:numPr>
      </w:pPr>
      <w:r>
        <w:t xml:space="preserve">Using data, analytics, and AI to deliver more personalized and affordable care;</w:t>
      </w:r>
    </w:p>
    <w:p>
      <w:pPr>
        <w:pStyle w:val="Compact"/>
        <w:numPr>
          <w:ilvl w:val="0"/>
          <w:numId w:val="1006"/>
        </w:numPr>
      </w:pPr>
      <w:r>
        <w:t xml:space="preserve">Emphasizing lower-cost therapies and sites of care;</w:t>
      </w:r>
    </w:p>
    <w:p>
      <w:pPr>
        <w:pStyle w:val="Compact"/>
        <w:numPr>
          <w:ilvl w:val="0"/>
          <w:numId w:val="1006"/>
        </w:numPr>
      </w:pPr>
      <w:r>
        <w:t xml:space="preserve">Moving earlier in the care journey through prevention, diagnostics, and behavior change;</w:t>
      </w:r>
    </w:p>
    <w:p>
      <w:pPr>
        <w:pStyle w:val="Compact"/>
        <w:numPr>
          <w:ilvl w:val="0"/>
          <w:numId w:val="1006"/>
        </w:numPr>
      </w:pPr>
      <w:r>
        <w:t xml:space="preserve">Continuing disciplined portfolio shaping and capital deployment.</w:t>
      </w:r>
    </w:p>
    <w:p>
      <w:pPr>
        <w:pStyle w:val="FirstParagraph"/>
      </w:pPr>
      <w:r>
        <w:t xml:space="preserve">The call will be important for establishing how aggressively Evanko intends to pursue these priorities and whether there is any incremental color on strategic alternatives for</w:t>
      </w:r>
      <w:r>
        <w:t xml:space="preserve"> </w:t>
      </w:r>
      <w:r>
        <w:rPr>
          <w:b/>
          <w:bCs/>
        </w:rPr>
        <w:t xml:space="preserve">eviCore</w:t>
      </w:r>
      <w:r>
        <w:t xml:space="preserve">, which CI placed under review in Q1. A transaction is not required for the thesis, but monetization or a partnership could further sharpen CI’s focus on core platforms and improve capital flexibility.</w:t>
      </w:r>
    </w:p>
    <w:p>
      <w:r>
        <w:pict>
          <v:rect style="width:0;height:1.5pt" o:hralign="center" o:hrstd="t" o:hr="t"/>
        </w:pict>
      </w:r>
    </w:p>
    <w:bookmarkEnd w:id="20"/>
    <w:bookmarkStart w:id="21" w:name="Xb644f92f2852a2cca1a180ee846debb21cf4fee"/>
    <w:p>
      <w:pPr>
        <w:pStyle w:val="Heading2"/>
      </w:pPr>
      <w:r>
        <w:t xml:space="preserve">Capital deployment and balance-sheet watch items</w:t>
      </w:r>
    </w:p>
    <w:p>
      <w:pPr>
        <w:pStyle w:val="FirstParagraph"/>
      </w:pPr>
      <w:r>
        <w:t xml:space="preserve">CI ended Q1 with a</w:t>
      </w:r>
      <w:r>
        <w:t xml:space="preserve"> </w:t>
      </w:r>
      <w:r>
        <w:rPr>
          <w:b/>
          <w:bCs/>
        </w:rPr>
        <w:t xml:space="preserve">42.3% debt-to-capitalization ratio</w:t>
      </w:r>
      <w:r>
        <w:t xml:space="preserve">, down from 43.0% at year-end 2025. Management expects further improvement by year-end while balancing debt reduction, dividends, repurchases, and targeted bolt-on M&amp;A.</w:t>
      </w:r>
    </w:p>
    <w:p>
      <w:pPr>
        <w:pStyle w:val="BodyText"/>
      </w:pPr>
      <w:r>
        <w:t xml:space="preserve">Items to monitor:</w:t>
      </w:r>
    </w:p>
    <w:p>
      <w:pPr>
        <w:pStyle w:val="Compact"/>
        <w:numPr>
          <w:ilvl w:val="0"/>
          <w:numId w:val="1007"/>
        </w:numPr>
      </w:pPr>
      <w:r>
        <w:rPr>
          <w:b/>
          <w:bCs/>
        </w:rPr>
        <w:t xml:space="preserve">Operating cash flow:</w:t>
      </w:r>
      <w:r>
        <w:t xml:space="preserve"> </w:t>
      </w:r>
      <w:r>
        <w:t xml:space="preserve">Q1 cash flow from operations was only</w:t>
      </w:r>
      <w:r>
        <w:t xml:space="preserve"> </w:t>
      </w:r>
      <w:r>
        <w:rPr>
          <w:b/>
          <w:bCs/>
        </w:rPr>
        <w:t xml:space="preserve">$1.1B</w:t>
      </w:r>
      <w:r>
        <w:t xml:space="preserve">, with management expecting the majority of annual cash flow in the second half. No concern if that cadence holds, but any change in working-capital or cash-flow guidance would matter.</w:t>
      </w:r>
    </w:p>
    <w:p>
      <w:pPr>
        <w:pStyle w:val="Compact"/>
        <w:numPr>
          <w:ilvl w:val="0"/>
          <w:numId w:val="1007"/>
        </w:numPr>
      </w:pPr>
      <w:r>
        <w:rPr>
          <w:b/>
          <w:bCs/>
        </w:rPr>
        <w:t xml:space="preserve">Share repurchases:</w:t>
      </w:r>
      <w:r>
        <w:t xml:space="preserve"> </w:t>
      </w:r>
      <w:r>
        <w:t xml:space="preserve">Reduced share count remains a meaningful contributor to per-share earnings growth.</w:t>
      </w:r>
    </w:p>
    <w:p>
      <w:pPr>
        <w:pStyle w:val="Compact"/>
        <w:numPr>
          <w:ilvl w:val="0"/>
          <w:numId w:val="1007"/>
        </w:numPr>
      </w:pPr>
      <w:r>
        <w:rPr>
          <w:b/>
          <w:bCs/>
        </w:rPr>
        <w:t xml:space="preserve">M&amp;A posture:</w:t>
      </w:r>
      <w:r>
        <w:t xml:space="preserve"> </w:t>
      </w:r>
      <w:r>
        <w:t xml:space="preserve">The stated approach is targeted, strategic bolt-ons—particularly relevant to Specialty &amp; Care—not large-scale transformational deals.</w:t>
      </w:r>
    </w:p>
    <w:p>
      <w:pPr>
        <w:pStyle w:val="Compact"/>
        <w:numPr>
          <w:ilvl w:val="0"/>
          <w:numId w:val="1007"/>
        </w:numPr>
      </w:pPr>
      <w:r>
        <w:rPr>
          <w:b/>
          <w:bCs/>
        </w:rPr>
        <w:t xml:space="preserve">eviCore review:</w:t>
      </w:r>
      <w:r>
        <w:t xml:space="preserve"> </w:t>
      </w:r>
      <w:r>
        <w:t xml:space="preserve">Any update on process timing, strategic rationale, or potential proceeds could be a secondary catalyst.</w:t>
      </w:r>
    </w:p>
    <w:p>
      <w:r>
        <w:pict>
          <v:rect style="width:0;height:1.5pt" o:hralign="center" o:hrstd="t" o:hr="t"/>
        </w:pict>
      </w:r>
    </w:p>
    <w:bookmarkEnd w:id="21"/>
    <w:bookmarkStart w:id="24" w:name="potential-catalysts"/>
    <w:p>
      <w:pPr>
        <w:pStyle w:val="Heading2"/>
      </w:pPr>
      <w:r>
        <w:t xml:space="preserve">Potential catalysts</w:t>
      </w:r>
    </w:p>
    <w:bookmarkStart w:id="22" w:name="bullish-outcomes"/>
    <w:p>
      <w:pPr>
        <w:pStyle w:val="Heading3"/>
      </w:pPr>
      <w:r>
        <w:t xml:space="preserve">Bullish outcomes</w:t>
      </w:r>
    </w:p>
    <w:p>
      <w:pPr>
        <w:pStyle w:val="Compact"/>
        <w:numPr>
          <w:ilvl w:val="0"/>
          <w:numId w:val="1008"/>
        </w:numPr>
      </w:pPr>
      <w:r>
        <w:rPr>
          <w:b/>
          <w:bCs/>
        </w:rPr>
        <w:t xml:space="preserve">Adjusted EPS above the implied ~$7.59 quarterly cadence</w:t>
      </w:r>
      <w:r>
        <w:t xml:space="preserve">, accompanied by a FY26 guide raise.</w:t>
      </w:r>
    </w:p>
    <w:p>
      <w:pPr>
        <w:pStyle w:val="Compact"/>
        <w:numPr>
          <w:ilvl w:val="0"/>
          <w:numId w:val="1008"/>
        </w:numPr>
      </w:pPr>
      <w:r>
        <w:t xml:space="preserve">Medical-cost trend remains elevated but stable, with 2Q MCR consistent with management’s seasonal setup.</w:t>
      </w:r>
    </w:p>
    <w:p>
      <w:pPr>
        <w:pStyle w:val="Compact"/>
        <w:numPr>
          <w:ilvl w:val="0"/>
          <w:numId w:val="1008"/>
        </w:numPr>
      </w:pPr>
      <w:r>
        <w:t xml:space="preserve">Specialty &amp; Care sustains double-digit earnings growth, supported by volumes, biosimilars, and Shields/Carepath contributions.</w:t>
      </w:r>
    </w:p>
    <w:p>
      <w:pPr>
        <w:pStyle w:val="Compact"/>
        <w:numPr>
          <w:ilvl w:val="0"/>
          <w:numId w:val="1008"/>
        </w:numPr>
      </w:pPr>
      <w:r>
        <w:t xml:space="preserve">PBS performs in line with plan despite expected investment spending.</w:t>
      </w:r>
    </w:p>
    <w:p>
      <w:pPr>
        <w:pStyle w:val="Compact"/>
        <w:numPr>
          <w:ilvl w:val="0"/>
          <w:numId w:val="1008"/>
        </w:numPr>
      </w:pPr>
      <w:r>
        <w:t xml:space="preserve">Stronger disclosure on 2027 commercial retention, PBS wins, or Signature interest.</w:t>
      </w:r>
    </w:p>
    <w:p>
      <w:pPr>
        <w:pStyle w:val="Compact"/>
        <w:numPr>
          <w:ilvl w:val="0"/>
          <w:numId w:val="1008"/>
        </w:numPr>
      </w:pPr>
      <w:r>
        <w:t xml:space="preserve">A clearer pathway for eviCore, continued buybacks, or improved leverage.</w:t>
      </w:r>
    </w:p>
    <w:bookmarkEnd w:id="22"/>
    <w:bookmarkStart w:id="23" w:name="bearish-outcomes"/>
    <w:p>
      <w:pPr>
        <w:pStyle w:val="Heading3"/>
      </w:pPr>
      <w:r>
        <w:t xml:space="preserve">Bearish outcomes</w:t>
      </w:r>
    </w:p>
    <w:p>
      <w:pPr>
        <w:pStyle w:val="Compact"/>
        <w:numPr>
          <w:ilvl w:val="0"/>
          <w:numId w:val="1009"/>
        </w:numPr>
      </w:pPr>
      <w:r>
        <w:t xml:space="preserve">Medical utilization or acuity accelerates, pressuring MCR and leading management to reduce confidence in pricing adequacy.</w:t>
      </w:r>
    </w:p>
    <w:p>
      <w:pPr>
        <w:pStyle w:val="Compact"/>
        <w:numPr>
          <w:ilvl w:val="0"/>
          <w:numId w:val="1009"/>
        </w:numPr>
      </w:pPr>
      <w:r>
        <w:t xml:space="preserve">PBS earnings weaken beyond the anticipated large-client and Signature-investment headwinds.</w:t>
      </w:r>
    </w:p>
    <w:p>
      <w:pPr>
        <w:pStyle w:val="Compact"/>
        <w:numPr>
          <w:ilvl w:val="0"/>
          <w:numId w:val="1009"/>
        </w:numPr>
      </w:pPr>
      <w:r>
        <w:t xml:space="preserve">Specialty growth moderates materially or margins disappoint.</w:t>
      </w:r>
    </w:p>
    <w:p>
      <w:pPr>
        <w:pStyle w:val="Compact"/>
        <w:numPr>
          <w:ilvl w:val="0"/>
          <w:numId w:val="1009"/>
        </w:numPr>
      </w:pPr>
      <w:r>
        <w:t xml:space="preserve">Higher GLP-1 or specialty-drug costs prove more difficult to absorb or manage than expected.</w:t>
      </w:r>
    </w:p>
    <w:p>
      <w:pPr>
        <w:pStyle w:val="Compact"/>
        <w:numPr>
          <w:ilvl w:val="0"/>
          <w:numId w:val="1009"/>
        </w:numPr>
      </w:pPr>
      <w:r>
        <w:t xml:space="preserve">FY26 guidance is merely maintained without a convincing explanation for the Q1 cushion—or, more materially, is reduced.</w:t>
      </w:r>
    </w:p>
    <w:p>
      <w:pPr>
        <w:pStyle w:val="Compact"/>
        <w:numPr>
          <w:ilvl w:val="0"/>
          <w:numId w:val="1009"/>
        </w:numPr>
      </w:pPr>
      <w:r>
        <w:t xml:space="preserve">Unexpected pressure from PBM regulation, rebate economics, pharmacy networks, or client retention.</w:t>
      </w:r>
    </w:p>
    <w:p>
      <w:r>
        <w:pict>
          <v:rect style="width:0;height:1.5pt" o:hralign="center" o:hrstd="t" o:hr="t"/>
        </w:pict>
      </w:r>
    </w:p>
    <w:bookmarkEnd w:id="23"/>
    <w:bookmarkEnd w:id="24"/>
    <w:bookmarkStart w:id="25" w:name="investor-takeaway"/>
    <w:p>
      <w:pPr>
        <w:pStyle w:val="Heading2"/>
      </w:pPr>
      <w:r>
        <w:t xml:space="preserve">Investor takeaway</w:t>
      </w:r>
    </w:p>
    <w:p>
      <w:pPr>
        <w:pStyle w:val="FirstParagraph"/>
      </w:pPr>
      <w:r>
        <w:t xml:space="preserve">CI is positioned as a</w:t>
      </w:r>
      <w:r>
        <w:t xml:space="preserve"> </w:t>
      </w:r>
      <w:r>
        <w:rPr>
          <w:b/>
          <w:bCs/>
        </w:rPr>
        <w:t xml:space="preserve">commercial managed-care and health-services compounder</w:t>
      </w:r>
      <w:r>
        <w:t xml:space="preserve">, rather than a Medicare-heavy insurer. That distinction has been valuable in an uneven managed-care environment. The company’s most important near-term differentiators are its commercial insurance discipline, specialty-pharmacy growth, and the strategic evolution of Evernorth’s PBM offering.</w:t>
      </w:r>
    </w:p>
    <w:p>
      <w:pPr>
        <w:pStyle w:val="BodyText"/>
      </w:pPr>
      <w:r>
        <w:t xml:space="preserve">For 2Q, the most constructive result would be a clean delivery against the roughly</w:t>
      </w:r>
      <w:r>
        <w:t xml:space="preserve"> </w:t>
      </w:r>
      <w:r>
        <w:rPr>
          <w:b/>
          <w:bCs/>
        </w:rPr>
        <w:t xml:space="preserve">$7.59 adjusted-EPS cadence</w:t>
      </w:r>
      <w:r>
        <w:t xml:space="preserve">, a seasonal but well-controlled MCR increase, ongoing Specialty &amp; Care momentum, and an unchanged-to-higher FY26 guide. The most important risk is not a single quarterly headline metric; it is whether commentary suggests that medical-cost or PBS pressures are becoming structurally worse than management’s current assumptions.</w:t>
      </w:r>
    </w:p>
    <w:bookmarkEnd w:id="25"/>
    <w:bookmarkEnd w:id="2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2026-07-29T18:10:56Z</dcterms:created>
  <dcterms:modified xsi:type="dcterms:W3CDTF">2026-07-29T18:10:56Z</dcterms:modified>
</cp:coreProperties>
</file>

<file path=docProps/custom.xml><?xml version="1.0" encoding="utf-8"?>
<Properties xmlns="http://schemas.openxmlformats.org/officeDocument/2006/custom-properties" xmlns:vt="http://schemas.openxmlformats.org/officeDocument/2006/docPropsVTypes"/>
</file>