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i-earnings-predictions--2026-07-30"/>
    <w:p>
      <w:pPr>
        <w:pStyle w:val="Heading1"/>
      </w:pPr>
      <w:r>
        <w:t xml:space="preserve">CI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~$7.66 vs. cons $7.60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Cigna Healthcare MCR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~84.7% vs. cons 84.63%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Specialty &amp; Care pretax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~$970M vs. cons $960M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at least $30.35 vs. cons $30.40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MCR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83.7%-84.7% vs. cons 84.20% midpoint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Evernorth pretax operating income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at least $6.9B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-8.0%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-7.0% (FADE)</w:t>
            </w:r>
          </w:p>
        </w:tc>
        <w:tc>
          <w:tcPr/>
          <w:p>
            <w:pPr>
              <w:pStyle w:val="Compact"/>
            </w:pPr>
            <w:r>
              <w:t xml:space="preserve">FADE — in-line/maintain package leaves forward estimates unchanged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2026-08-01T02:05:04Z</dcterms:created>
  <dcterms:modified xsi:type="dcterms:W3CDTF">2026-08-01T02:05:04Z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