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e4f8e642510aa0b67213f20831e4f74eb1feb8"/>
    <w:p>
      <w:pPr>
        <w:pStyle w:val="Heading1"/>
      </w:pPr>
      <w:r>
        <w:t xml:space="preserve">Colgate-Palmolive (NYSE: CL) — 2026Q2 Earnings Preview</w:t>
      </w:r>
    </w:p>
    <w:p>
      <w:pPr>
        <w:pStyle w:val="FirstParagraph"/>
      </w:pPr>
      <w:r>
        <w:rPr>
          <w:b/>
          <w:bCs/>
        </w:rPr>
        <w:t xml:space="preserve">Report date:</w:t>
      </w:r>
      <w:r>
        <w:t xml:space="preserve"> </w:t>
      </w:r>
      <w:r>
        <w:t xml:space="preserve">Friday, July 31, 2026, before the market opens</w:t>
      </w:r>
      <w:r>
        <w:br/>
      </w:r>
      <w:r>
        <w:rPr>
          <w:b/>
          <w:bCs/>
        </w:rPr>
        <w:t xml:space="preserve">Conference call:</w:t>
      </w:r>
      <w:r>
        <w:t xml:space="preserve"> </w:t>
      </w:r>
      <w:r>
        <w:t xml:space="preserve">8:30 a.m. ET (</w:t>
      </w:r>
      <w:hyperlink r:id="rId9">
        <w:r>
          <w:rPr>
            <w:rStyle w:val="Hyperlink"/>
          </w:rPr>
          <w:t xml:space="preserve">investor.colgatepalmolive.com</w:t>
        </w:r>
      </w:hyperlink>
      <w:r>
        <w:t xml:space="preserve">)</w:t>
      </w:r>
      <w:r>
        <w:br/>
      </w:r>
      <w:r>
        <w:rPr>
          <w:b/>
          <w:bCs/>
        </w:rPr>
        <w:t xml:space="preserve">July 30 closing price:</w:t>
      </w:r>
      <w:r>
        <w:t xml:space="preserve"> </w:t>
      </w:r>
      <w:r>
        <w:rPr>
          <w:b/>
          <w:bCs/>
        </w:rPr>
        <w:t xml:space="preserve">$91.62</w:t>
      </w:r>
    </w:p>
    <w:bookmarkStart w:id="10" w:name="executive-view"/>
    <w:p>
      <w:pPr>
        <w:pStyle w:val="Heading2"/>
      </w:pPr>
      <w:r>
        <w:t xml:space="preserve">Executive view</w:t>
      </w:r>
    </w:p>
    <w:p>
      <w:pPr>
        <w:pStyle w:val="FirstParagraph"/>
      </w:pPr>
      <w:r>
        <w:t xml:space="preserve">The central question is not whether Colgate-Palmolive can deliver another modest EPS beat. It is whether the company can</w:t>
      </w:r>
      <w:r>
        <w:t xml:space="preserve"> </w:t>
      </w:r>
      <w:r>
        <w:rPr>
          <w:b/>
          <w:bCs/>
        </w:rPr>
        <w:t xml:space="preserve">protect its 2026 earnings outlook while commodity, freight and tariff pressures intensify</w:t>
      </w:r>
      <w:r>
        <w:t xml:space="preserve">.</w:t>
      </w:r>
    </w:p>
    <w:p>
      <w:pPr>
        <w:pStyle w:val="BodyText"/>
      </w:pPr>
      <w:r>
        <w:t xml:space="preserve">Colgate entered the quarter with good emerging-market momentum, improving Asian performance and a healthy core Hill’s business. Those positives are offset by a weak North American franchise, slowing U.S. categories and significantly higher oil-linked input and logistics costs.</w:t>
      </w:r>
    </w:p>
    <w:p>
      <w:pPr>
        <w:pStyle w:val="BodyText"/>
      </w:pPr>
      <w:r>
        <w:t xml:space="preserve">The most consequential parts of Friday’s report should be:</w:t>
      </w:r>
    </w:p>
    <w:p>
      <w:pPr>
        <w:pStyle w:val="Compact"/>
        <w:numPr>
          <w:ilvl w:val="0"/>
          <w:numId w:val="1001"/>
        </w:numPr>
      </w:pPr>
      <w:r>
        <w:rPr>
          <w:b/>
          <w:bCs/>
        </w:rPr>
        <w:t xml:space="preserve">Organic volume</w:t>
      </w:r>
      <w:r>
        <w:t xml:space="preserve">, particularly whether Q1’s improvement was sustained.</w:t>
      </w:r>
    </w:p>
    <w:p>
      <w:pPr>
        <w:pStyle w:val="Compact"/>
        <w:numPr>
          <w:ilvl w:val="0"/>
          <w:numId w:val="1001"/>
        </w:numPr>
      </w:pPr>
      <w:r>
        <w:rPr>
          <w:b/>
          <w:bCs/>
        </w:rPr>
        <w:t xml:space="preserve">North America</w:t>
      </w:r>
      <w:r>
        <w:t xml:space="preserve">, where management promised sequential improvement.</w:t>
      </w:r>
    </w:p>
    <w:p>
      <w:pPr>
        <w:pStyle w:val="Compact"/>
        <w:numPr>
          <w:ilvl w:val="0"/>
          <w:numId w:val="1001"/>
        </w:numPr>
      </w:pPr>
      <w:r>
        <w:rPr>
          <w:b/>
          <w:bCs/>
        </w:rPr>
        <w:t xml:space="preserve">Gross-margin guidance</w:t>
      </w:r>
      <w:r>
        <w:t xml:space="preserve">, following the sharp cost reset in May.</w:t>
      </w:r>
    </w:p>
    <w:p>
      <w:pPr>
        <w:pStyle w:val="Compact"/>
        <w:numPr>
          <w:ilvl w:val="0"/>
          <w:numId w:val="1001"/>
        </w:numPr>
      </w:pPr>
      <w:r>
        <w:rPr>
          <w:b/>
          <w:bCs/>
        </w:rPr>
        <w:t xml:space="preserve">Hill’s underlying growth</w:t>
      </w:r>
      <w:r>
        <w:t xml:space="preserve">, excluding the final material effects of the private-label exit.</w:t>
      </w:r>
    </w:p>
    <w:p>
      <w:pPr>
        <w:pStyle w:val="Compact"/>
        <w:numPr>
          <w:ilvl w:val="0"/>
          <w:numId w:val="1001"/>
        </w:numPr>
      </w:pPr>
      <w:r>
        <w:t xml:space="preserve">Whether management still sees a credible path to</w:t>
      </w:r>
      <w:r>
        <w:t xml:space="preserve"> </w:t>
      </w:r>
      <w:r>
        <w:rPr>
          <w:b/>
          <w:bCs/>
        </w:rPr>
        <w:t xml:space="preserve">low- to mid-single-digit adjusted EPS growth</w:t>
      </w:r>
      <w:r>
        <w:t xml:space="preserve"> </w:t>
      </w:r>
      <w:r>
        <w:t xml:space="preserve">without reducing brand investment.</w:t>
      </w:r>
    </w:p>
    <w:p>
      <w:pPr>
        <w:pStyle w:val="FirstParagraph"/>
      </w:pPr>
      <w:r>
        <w:t xml:space="preserve">The setup appears balanced. Expectations are not especially demanding for Q2, but CL trades at a premium valuation and has already outperformed the broader market this year. A routine beat accompanied by cautious guidance may not be enough to drive substantial upside.</w:t>
      </w:r>
    </w:p>
    <w:p>
      <w:r>
        <w:pict>
          <v:rect style="width:0;height:1.5pt" o:hralign="center" o:hrstd="t" o:hr="t"/>
        </w:pict>
      </w:r>
    </w:p>
    <w:bookmarkEnd w:id="10"/>
    <w:bookmarkStart w:id="12" w:name="headline-expectations"/>
    <w:p>
      <w:pPr>
        <w:pStyle w:val="Heading2"/>
      </w:pPr>
      <w:r>
        <w:t xml:space="preserve">Headline expectations</w:t>
      </w:r>
    </w:p>
    <w:p>
      <w:pPr>
        <w:pStyle w:val="FirstParagraph"/>
      </w:pPr>
      <w:r>
        <w:t xml:space="preserve">Public estimate aggregators are not fully aligned, but a commonly cited consensus calls for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rPr>
                <w:b/>
                <w:bCs/>
              </w:rPr>
              <w:t xml:space="preserve">$5.36 billion</w:t>
            </w:r>
          </w:p>
        </w:tc>
        <w:tc>
          <w:tcPr/>
          <w:p>
            <w:pPr>
              <w:pStyle w:val="Compact"/>
              <w:jc w:val="right"/>
            </w:pPr>
            <w:r>
              <w:t xml:space="preserve">$5.11 billion</w:t>
            </w:r>
          </w:p>
        </w:tc>
        <w:tc>
          <w:tcPr/>
          <w:p>
            <w:pPr>
              <w:pStyle w:val="Compact"/>
              <w:jc w:val="right"/>
            </w:pPr>
            <w:r>
              <w:rPr>
                <w:b/>
                <w:bCs/>
              </w:rPr>
              <w:t xml:space="preserve">+4.9%</w:t>
            </w:r>
          </w:p>
        </w:tc>
      </w:tr>
      <w:tr>
        <w:tc>
          <w:tcPr/>
          <w:p>
            <w:pPr>
              <w:pStyle w:val="Compact"/>
            </w:pPr>
            <w:r>
              <w:t xml:space="preserve">Adjusted EPS</w:t>
            </w:r>
          </w:p>
        </w:tc>
        <w:tc>
          <w:tcPr/>
          <w:p>
            <w:pPr>
              <w:pStyle w:val="Compact"/>
              <w:jc w:val="right"/>
            </w:pPr>
            <w:r>
              <w:rPr>
                <w:b/>
                <w:bCs/>
              </w:rPr>
              <w:t xml:space="preserve">$0.95</w:t>
            </w:r>
          </w:p>
        </w:tc>
        <w:tc>
          <w:tcPr/>
          <w:p>
            <w:pPr>
              <w:pStyle w:val="Compact"/>
              <w:jc w:val="right"/>
            </w:pPr>
            <w:r>
              <w:t xml:space="preserve">$0.92</w:t>
            </w:r>
          </w:p>
        </w:tc>
        <w:tc>
          <w:tcPr/>
          <w:p>
            <w:pPr>
              <w:pStyle w:val="Compact"/>
              <w:jc w:val="right"/>
            </w:pPr>
            <w:r>
              <w:rPr>
                <w:b/>
                <w:bCs/>
              </w:rPr>
              <w:t xml:space="preserve">+3.3%</w:t>
            </w:r>
          </w:p>
        </w:tc>
      </w:tr>
    </w:tbl>
    <w:p>
      <w:pPr>
        <w:pStyle w:val="BodyText"/>
      </w:pPr>
      <w:r>
        <w:t xml:space="preserve">Some estimate feeds show figures closer to $0.97 of EPS and $5.5 billion of revenue, so investors should treat the exact consensus as provider-dependent. (</w:t>
      </w:r>
      <w:hyperlink r:id="rId11">
        <w:r>
          <w:rPr>
            <w:rStyle w:val="Hyperlink"/>
          </w:rPr>
          <w:t xml:space="preserve">benzinga.com</w:t>
        </w:r>
      </w:hyperlink>
      <w:r>
        <w:t xml:space="preserve">)</w:t>
      </w:r>
    </w:p>
    <w:p>
      <w:pPr>
        <w:pStyle w:val="BodyText"/>
      </w:pPr>
      <w:r>
        <w:t xml:space="preserve">Reported revenue growth should receive meaningful help from currencies. Consequently,</w:t>
      </w:r>
      <w:r>
        <w:t xml:space="preserve"> </w:t>
      </w:r>
      <w:r>
        <w:rPr>
          <w:b/>
          <w:bCs/>
        </w:rPr>
        <w:t xml:space="preserve">organic sales, volume, pricing and gross margin will carry more information than the headline revenue number</w:t>
      </w:r>
      <w:r>
        <w:t xml:space="preserve">.</w:t>
      </w:r>
    </w:p>
    <w:p>
      <w:r>
        <w:pict>
          <v:rect style="width:0;height:1.5pt" o:hralign="center" o:hrstd="t" o:hr="t"/>
        </w:pict>
      </w:r>
    </w:p>
    <w:bookmarkEnd w:id="12"/>
    <w:bookmarkStart w:id="14" w:name="Xc3dd700058983a8e609c4093c29e729b80c2860"/>
    <w:p>
      <w:pPr>
        <w:pStyle w:val="Heading2"/>
      </w:pPr>
      <w:r>
        <w:t xml:space="preserve">Starting point: a strong Q1 with a weaker cost outlook</w:t>
      </w:r>
    </w:p>
    <w:p>
      <w:pPr>
        <w:pStyle w:val="FirstParagraph"/>
      </w:pPr>
      <w:r>
        <w:t xml:space="preserve">First-quarter results were solid:</w:t>
      </w:r>
    </w:p>
    <w:p>
      <w:pPr>
        <w:pStyle w:val="Compact"/>
        <w:numPr>
          <w:ilvl w:val="0"/>
          <w:numId w:val="1002"/>
        </w:numPr>
      </w:pPr>
      <w:r>
        <w:t xml:space="preserve">Net sales increased</w:t>
      </w:r>
      <w:r>
        <w:t xml:space="preserve"> </w:t>
      </w:r>
      <w:r>
        <w:rPr>
          <w:b/>
          <w:bCs/>
        </w:rPr>
        <w:t xml:space="preserve">8.4%</w:t>
      </w:r>
      <w:r>
        <w:t xml:space="preserve">.</w:t>
      </w:r>
    </w:p>
    <w:p>
      <w:pPr>
        <w:pStyle w:val="Compact"/>
        <w:numPr>
          <w:ilvl w:val="0"/>
          <w:numId w:val="1002"/>
        </w:numPr>
      </w:pPr>
      <w:r>
        <w:t xml:space="preserve">Organic sales increased</w:t>
      </w:r>
      <w:r>
        <w:t xml:space="preserve"> </w:t>
      </w:r>
      <w:r>
        <w:rPr>
          <w:b/>
          <w:bCs/>
        </w:rPr>
        <w:t xml:space="preserve">2.9%</w:t>
      </w:r>
      <w:r>
        <w:t xml:space="preserve">.</w:t>
      </w:r>
    </w:p>
    <w:p>
      <w:pPr>
        <w:pStyle w:val="Compact"/>
        <w:numPr>
          <w:ilvl w:val="0"/>
          <w:numId w:val="1002"/>
        </w:numPr>
      </w:pPr>
      <w:r>
        <w:t xml:space="preserve">Reported volume grew</w:t>
      </w:r>
      <w:r>
        <w:t xml:space="preserve"> </w:t>
      </w:r>
      <w:r>
        <w:rPr>
          <w:b/>
          <w:bCs/>
        </w:rPr>
        <w:t xml:space="preserve">1.1%</w:t>
      </w:r>
      <w:r>
        <w:t xml:space="preserve">, while pricing contributed</w:t>
      </w:r>
      <w:r>
        <w:t xml:space="preserve"> </w:t>
      </w:r>
      <w:r>
        <w:rPr>
          <w:b/>
          <w:bCs/>
        </w:rPr>
        <w:t xml:space="preserve">2.2%</w:t>
      </w:r>
      <w:r>
        <w:t xml:space="preserve">.</w:t>
      </w:r>
    </w:p>
    <w:p>
      <w:pPr>
        <w:pStyle w:val="Compact"/>
        <w:numPr>
          <w:ilvl w:val="0"/>
          <w:numId w:val="1002"/>
        </w:numPr>
      </w:pPr>
      <w:r>
        <w:t xml:space="preserve">Adjusted EPS increased</w:t>
      </w:r>
      <w:r>
        <w:t xml:space="preserve"> </w:t>
      </w:r>
      <w:r>
        <w:rPr>
          <w:b/>
          <w:bCs/>
        </w:rPr>
        <w:t xml:space="preserve">7% to $0.97</w:t>
      </w:r>
      <w:r>
        <w:t xml:space="preserve">.</w:t>
      </w:r>
    </w:p>
    <w:p>
      <w:pPr>
        <w:pStyle w:val="Compact"/>
        <w:numPr>
          <w:ilvl w:val="0"/>
          <w:numId w:val="1002"/>
        </w:numPr>
      </w:pPr>
      <w:r>
        <w:t xml:space="preserve">Gross margin declined 20 basis points to</w:t>
      </w:r>
      <w:r>
        <w:t xml:space="preserve"> </w:t>
      </w:r>
      <w:r>
        <w:rPr>
          <w:b/>
          <w:bCs/>
        </w:rPr>
        <w:t xml:space="preserve">60.6%</w:t>
      </w:r>
      <w:r>
        <w:t xml:space="preserve">.</w:t>
      </w:r>
    </w:p>
    <w:p>
      <w:pPr>
        <w:pStyle w:val="Compact"/>
        <w:numPr>
          <w:ilvl w:val="0"/>
          <w:numId w:val="1002"/>
        </w:numPr>
      </w:pPr>
      <w:r>
        <w:t xml:space="preserve">Advertising increased approximately 10%.</w:t>
      </w:r>
    </w:p>
    <w:p>
      <w:pPr>
        <w:pStyle w:val="Compact"/>
        <w:numPr>
          <w:ilvl w:val="0"/>
          <w:numId w:val="1002"/>
        </w:numPr>
      </w:pPr>
      <w:r>
        <w:t xml:space="preserve">Emerging-market organic sales rose</w:t>
      </w:r>
      <w:r>
        <w:t xml:space="preserve"> </w:t>
      </w:r>
      <w:r>
        <w:rPr>
          <w:b/>
          <w:bCs/>
        </w:rPr>
        <w:t xml:space="preserve">6.2%</w:t>
      </w:r>
      <w:r>
        <w:t xml:space="preserve">, compared with only</w:t>
      </w:r>
      <w:r>
        <w:t xml:space="preserve"> </w:t>
      </w:r>
      <w:r>
        <w:rPr>
          <w:b/>
          <w:bCs/>
        </w:rPr>
        <w:t xml:space="preserve">0.2%</w:t>
      </w:r>
      <w:r>
        <w:t xml:space="preserve"> </w:t>
      </w:r>
      <w:r>
        <w:t xml:space="preserve">in developed markets.</w:t>
      </w:r>
    </w:p>
    <w:p>
      <w:pPr>
        <w:pStyle w:val="FirstParagraph"/>
      </w:pPr>
      <w:r>
        <w:t xml:space="preserve">The geographic split was stark: North American organic sales fell 2.2%, while Latin America, EMEA and Asia Pacific grew 5.4%, 3.5% and 5.6%, respectively. (</w:t>
      </w:r>
      <w:hyperlink r:id="rId13">
        <w:r>
          <w:rPr>
            <w:rStyle w:val="Hyperlink"/>
          </w:rPr>
          <w:t xml:space="preserve">investor.colgatepalmolive.com</w:t>
        </w:r>
      </w:hyperlink>
      <w:r>
        <w:t xml:space="preserve">)</w:t>
      </w:r>
    </w:p>
    <w:p>
      <w:pPr>
        <w:pStyle w:val="BodyText"/>
      </w:pPr>
      <w:r>
        <w:t xml:space="preserve">Management maintained its annual sales and EPS forecasts but changed full-year gross-margin guidance from</w:t>
      </w:r>
      <w:r>
        <w:t xml:space="preserve"> </w:t>
      </w:r>
      <w:r>
        <w:rPr>
          <w:b/>
          <w:bCs/>
        </w:rPr>
        <w:t xml:space="preserve">up</w:t>
      </w:r>
      <w:r>
        <w:t xml:space="preserve"> </w:t>
      </w:r>
      <w:r>
        <w:t xml:space="preserve">to</w:t>
      </w:r>
      <w:r>
        <w:t xml:space="preserve"> </w:t>
      </w:r>
      <w:r>
        <w:rPr>
          <w:b/>
          <w:bCs/>
        </w:rPr>
        <w:t xml:space="preserve">down</w:t>
      </w:r>
      <w:r>
        <w:t xml:space="preserve">. The revision reflected approximately</w:t>
      </w:r>
      <w:r>
        <w:t xml:space="preserve"> </w:t>
      </w:r>
      <w:r>
        <w:rPr>
          <w:b/>
          <w:bCs/>
        </w:rPr>
        <w:t xml:space="preserve">$300 million of incremental raw-material and logistics costs</w:t>
      </w:r>
      <w:r>
        <w:t xml:space="preserve">, based partly on an assumption of roughly $110 oil for the balance of the year.</w:t>
      </w:r>
    </w:p>
    <w:p>
      <w:pPr>
        <w:pStyle w:val="BodyText"/>
      </w:pPr>
      <w:r>
        <w:t xml:space="preserve">That cost reset makes Q2’s guidance discussion at least as important as the quarter’s reported EPS.</w:t>
      </w:r>
    </w:p>
    <w:p>
      <w:r>
        <w:pict>
          <v:rect style="width:0;height:1.5pt" o:hralign="center" o:hrstd="t" o:hr="t"/>
        </w:pict>
      </w:r>
    </w:p>
    <w:bookmarkEnd w:id="14"/>
    <w:bookmarkStart w:id="16" w:name="Xc63ecd0402cd6d298b5a5265285c71507f8737a"/>
    <w:p>
      <w:pPr>
        <w:pStyle w:val="Heading2"/>
      </w:pPr>
      <w:r>
        <w:t xml:space="preserve">1. Organic growth: can volume remain positive?</w:t>
      </w:r>
    </w:p>
    <w:p>
      <w:pPr>
        <w:pStyle w:val="FirstParagraph"/>
      </w:pPr>
      <w:r>
        <w:t xml:space="preserve">Q1’s best feature was the return to positive volume, led by Asia and other emerging markets. Excluding lower private-label pet-food sales, management said Colgate generated both volume and pricing growth across all four product categories.</w:t>
      </w:r>
    </w:p>
    <w:p>
      <w:pPr>
        <w:pStyle w:val="BodyText"/>
      </w:pPr>
      <w:r>
        <w:t xml:space="preserve">The Q2 bar is not particularly high: organic sales grew only 1.8% in Q2 2025, with organic volume down 0.2%. But category growth has remained sluggish, and management observed additional U.S. category slowing beginning in May.</w:t>
      </w:r>
    </w:p>
    <w:bookmarkStart w:id="15" w:name="what-would-constitute-a-good-result"/>
    <w:p>
      <w:pPr>
        <w:pStyle w:val="Heading3"/>
      </w:pPr>
      <w:r>
        <w:t xml:space="preserve">What would constitute a good result?</w:t>
      </w:r>
    </w:p>
    <w:p>
      <w:pPr>
        <w:pStyle w:val="FirstParagraph"/>
      </w:pPr>
      <w:r>
        <w:t xml:space="preserve">A healthy composition would look like:</w:t>
      </w:r>
    </w:p>
    <w:p>
      <w:pPr>
        <w:pStyle w:val="Compact"/>
        <w:numPr>
          <w:ilvl w:val="0"/>
          <w:numId w:val="1003"/>
        </w:numPr>
      </w:pPr>
      <w:r>
        <w:rPr>
          <w:b/>
          <w:bCs/>
        </w:rPr>
        <w:t xml:space="preserve">Organic growth of roughly 3% or better</w:t>
      </w:r>
      <w:r>
        <w:t xml:space="preserve">.</w:t>
      </w:r>
    </w:p>
    <w:p>
      <w:pPr>
        <w:pStyle w:val="Compact"/>
        <w:numPr>
          <w:ilvl w:val="0"/>
          <w:numId w:val="1003"/>
        </w:numPr>
      </w:pPr>
      <w:r>
        <w:t xml:space="preserve">Positive company-wide organic volume.</w:t>
      </w:r>
    </w:p>
    <w:p>
      <w:pPr>
        <w:pStyle w:val="Compact"/>
        <w:numPr>
          <w:ilvl w:val="0"/>
          <w:numId w:val="1003"/>
        </w:numPr>
      </w:pPr>
      <w:r>
        <w:t xml:space="preserve">Pricing remaining around the low-single-digit range without a major deterioration in elasticity.</w:t>
      </w:r>
    </w:p>
    <w:p>
      <w:pPr>
        <w:pStyle w:val="Compact"/>
        <w:numPr>
          <w:ilvl w:val="0"/>
          <w:numId w:val="1003"/>
        </w:numPr>
      </w:pPr>
      <w:r>
        <w:t xml:space="preserve">Broad growth rather than excessive dependence on Latin American pricing.</w:t>
      </w:r>
    </w:p>
    <w:p>
      <w:pPr>
        <w:pStyle w:val="FirstParagraph"/>
      </w:pPr>
      <w:r>
        <w:t xml:space="preserve">A weaker result would be organic growth below 2%, especially if positive pricing masks renewed volume contraction.</w:t>
      </w:r>
    </w:p>
    <w:p>
      <w:r>
        <w:pict>
          <v:rect style="width:0;height:1.5pt" o:hralign="center" o:hrstd="t" o:hr="t"/>
        </w:pict>
      </w:r>
    </w:p>
    <w:bookmarkEnd w:id="15"/>
    <w:bookmarkEnd w:id="16"/>
    <w:bookmarkStart w:id="18" w:name="X3d1f13ccacbc5c7fd3df3d725665ff7bfe7279a"/>
    <w:p>
      <w:pPr>
        <w:pStyle w:val="Heading2"/>
      </w:pPr>
      <w:r>
        <w:t xml:space="preserve">2. North America is the key operating swing factor</w:t>
      </w:r>
    </w:p>
    <w:p>
      <w:pPr>
        <w:pStyle w:val="FirstParagraph"/>
      </w:pPr>
      <w:r>
        <w:t xml:space="preserve">North America was only 17% of Q1 sales but represented the company’s largest execution problem:</w:t>
      </w:r>
    </w:p>
    <w:p>
      <w:pPr>
        <w:pStyle w:val="Compact"/>
        <w:numPr>
          <w:ilvl w:val="0"/>
          <w:numId w:val="1004"/>
        </w:numPr>
      </w:pPr>
      <w:r>
        <w:t xml:space="preserve">Organic sales:</w:t>
      </w:r>
      <w:r>
        <w:t xml:space="preserve"> </w:t>
      </w:r>
      <w:r>
        <w:rPr>
          <w:b/>
          <w:bCs/>
        </w:rPr>
        <w:t xml:space="preserve">-2.2%</w:t>
      </w:r>
    </w:p>
    <w:p>
      <w:pPr>
        <w:pStyle w:val="Compact"/>
        <w:numPr>
          <w:ilvl w:val="0"/>
          <w:numId w:val="1004"/>
        </w:numPr>
      </w:pPr>
      <w:r>
        <w:t xml:space="preserve">Volume:</w:t>
      </w:r>
      <w:r>
        <w:t xml:space="preserve"> </w:t>
      </w:r>
      <w:r>
        <w:rPr>
          <w:b/>
          <w:bCs/>
        </w:rPr>
        <w:t xml:space="preserve">-3.2%</w:t>
      </w:r>
    </w:p>
    <w:p>
      <w:pPr>
        <w:pStyle w:val="Compact"/>
        <w:numPr>
          <w:ilvl w:val="0"/>
          <w:numId w:val="1004"/>
        </w:numPr>
      </w:pPr>
      <w:r>
        <w:t xml:space="preserve">Operating profit:</w:t>
      </w:r>
      <w:r>
        <w:t xml:space="preserve"> </w:t>
      </w:r>
      <w:r>
        <w:rPr>
          <w:b/>
          <w:bCs/>
        </w:rPr>
        <w:t xml:space="preserve">-28%</w:t>
      </w:r>
    </w:p>
    <w:p>
      <w:pPr>
        <w:pStyle w:val="Compact"/>
        <w:numPr>
          <w:ilvl w:val="0"/>
          <w:numId w:val="1004"/>
        </w:numPr>
      </w:pPr>
      <w:r>
        <w:t xml:space="preserve">Operating margin:</w:t>
      </w:r>
      <w:r>
        <w:t xml:space="preserve"> </w:t>
      </w:r>
      <w:r>
        <w:rPr>
          <w:b/>
          <w:bCs/>
        </w:rPr>
        <w:t xml:space="preserve">15.8%, down 590 basis points</w:t>
      </w:r>
    </w:p>
    <w:p>
      <w:pPr>
        <w:pStyle w:val="FirstParagraph"/>
      </w:pPr>
      <w:r>
        <w:t xml:space="preserve">The margin pressure reflected weak sales leverage, higher raw-material costs and tariffs. Management attributed some of the volume weakness to delayed shelf resets and late innovation shipments and said performance should improve sequentially beginning in Q2.</w:t>
      </w:r>
    </w:p>
    <w:p>
      <w:pPr>
        <w:pStyle w:val="BodyText"/>
      </w:pPr>
      <w:r>
        <w:t xml:space="preserve">A June investor conference provided a more mixed update. Colgate said U.S. categories slowed markedly in early May, although Oral Care share appeared to stabilize. The recovery plan centers on:</w:t>
      </w:r>
    </w:p>
    <w:p>
      <w:pPr>
        <w:pStyle w:val="Compact"/>
        <w:numPr>
          <w:ilvl w:val="0"/>
          <w:numId w:val="1005"/>
        </w:numPr>
      </w:pPr>
      <w:r>
        <w:t xml:space="preserve">Premiumization, especially in whitening and higher-value oral care.</w:t>
      </w:r>
    </w:p>
    <w:p>
      <w:pPr>
        <w:pStyle w:val="Compact"/>
        <w:numPr>
          <w:ilvl w:val="0"/>
          <w:numId w:val="1005"/>
        </w:numPr>
      </w:pPr>
      <w:r>
        <w:t xml:space="preserve">Improved promotion and price-pack architecture.</w:t>
      </w:r>
    </w:p>
    <w:p>
      <w:pPr>
        <w:pStyle w:val="Compact"/>
        <w:numPr>
          <w:ilvl w:val="0"/>
          <w:numId w:val="1005"/>
        </w:numPr>
      </w:pPr>
      <w:r>
        <w:t xml:space="preserve">More competitive execution in mass, club and digital channels.</w:t>
      </w:r>
    </w:p>
    <w:p>
      <w:pPr>
        <w:pStyle w:val="Compact"/>
        <w:numPr>
          <w:ilvl w:val="0"/>
          <w:numId w:val="1005"/>
        </w:numPr>
      </w:pPr>
      <w:r>
        <w:t xml:space="preserve">Innovation behind Optic White and other Oral Care platforms.</w:t>
      </w:r>
    </w:p>
    <w:p>
      <w:pPr>
        <w:pStyle w:val="Compact"/>
        <w:numPr>
          <w:ilvl w:val="0"/>
          <w:numId w:val="1005"/>
        </w:numPr>
      </w:pPr>
      <w:r>
        <w:t xml:space="preserve">Greater support for Fabuloso and Suavitel in Home Care.</w:t>
      </w:r>
    </w:p>
    <w:p>
      <w:pPr>
        <w:pStyle w:val="Compact"/>
        <w:numPr>
          <w:ilvl w:val="0"/>
          <w:numId w:val="1005"/>
        </w:numPr>
      </w:pPr>
      <w:r>
        <w:t xml:space="preserve">Maintaining value offerings for financially pressured consumers.</w:t>
      </w:r>
    </w:p>
    <w:bookmarkStart w:id="17" w:name="investor-focus"/>
    <w:p>
      <w:pPr>
        <w:pStyle w:val="Heading3"/>
      </w:pPr>
      <w:r>
        <w:t xml:space="preserve">Investor focus</w:t>
      </w:r>
    </w:p>
    <w:p>
      <w:pPr>
        <w:pStyle w:val="FirstParagraph"/>
      </w:pPr>
      <w:r>
        <w:t xml:space="preserve">An immediate return to growth is probably unrealistic. The more reasonable test is whether:</w:t>
      </w:r>
    </w:p>
    <w:p>
      <w:pPr>
        <w:pStyle w:val="Compact"/>
        <w:numPr>
          <w:ilvl w:val="0"/>
          <w:numId w:val="1006"/>
        </w:numPr>
      </w:pPr>
      <w:r>
        <w:t xml:space="preserve">North American organic sales improve materially from Q1’s -2.2%.</w:t>
      </w:r>
    </w:p>
    <w:p>
      <w:pPr>
        <w:pStyle w:val="Compact"/>
        <w:numPr>
          <w:ilvl w:val="0"/>
          <w:numId w:val="1006"/>
        </w:numPr>
      </w:pPr>
      <w:r>
        <w:t xml:space="preserve">Oral Care share stabilizes.</w:t>
      </w:r>
    </w:p>
    <w:p>
      <w:pPr>
        <w:pStyle w:val="Compact"/>
        <w:numPr>
          <w:ilvl w:val="0"/>
          <w:numId w:val="1006"/>
        </w:numPr>
      </w:pPr>
      <w:r>
        <w:t xml:space="preserve">New products and shelf resets are performing as expected.</w:t>
      </w:r>
    </w:p>
    <w:p>
      <w:pPr>
        <w:pStyle w:val="Compact"/>
        <w:numPr>
          <w:ilvl w:val="0"/>
          <w:numId w:val="1006"/>
        </w:numPr>
      </w:pPr>
      <w:r>
        <w:t xml:space="preserve">Management still expects improvement through the second half.</w:t>
      </w:r>
    </w:p>
    <w:p>
      <w:pPr>
        <w:pStyle w:val="FirstParagraph"/>
      </w:pPr>
      <w:r>
        <w:t xml:space="preserve">Organic sales around flat would be encouraging. Another decline of 2% or worse—particularly if paired with lower share—would call the timing of the turnaround into question.</w:t>
      </w:r>
    </w:p>
    <w:p>
      <w:r>
        <w:pict>
          <v:rect style="width:0;height:1.5pt" o:hralign="center" o:hrstd="t" o:hr="t"/>
        </w:pict>
      </w:r>
    </w:p>
    <w:bookmarkEnd w:id="17"/>
    <w:bookmarkEnd w:id="18"/>
    <w:bookmarkStart w:id="20" w:name="X5a39b9a778f8c9b63889f0e04b5032338f3ac1e"/>
    <w:p>
      <w:pPr>
        <w:pStyle w:val="Heading2"/>
      </w:pPr>
      <w:r>
        <w:t xml:space="preserve">3. Gross margin and oil-linked inflation will determine the guidance reaction</w:t>
      </w:r>
    </w:p>
    <w:p>
      <w:pPr>
        <w:pStyle w:val="FirstParagraph"/>
      </w:pPr>
      <w:r>
        <w:t xml:space="preserve">This is likely the report’s most important financial issue.</w:t>
      </w:r>
    </w:p>
    <w:p>
      <w:pPr>
        <w:pStyle w:val="BodyText"/>
      </w:pPr>
      <w:r>
        <w:t xml:space="preserve">In May, management estimated that incremental 2026 cost pressure had increased by about $300 million:</w:t>
      </w:r>
    </w:p>
    <w:p>
      <w:pPr>
        <w:pStyle w:val="Compact"/>
        <w:numPr>
          <w:ilvl w:val="0"/>
          <w:numId w:val="1007"/>
        </w:numPr>
      </w:pPr>
      <w:r>
        <w:t xml:space="preserve">Roughly two-thirds from raw materials.</w:t>
      </w:r>
    </w:p>
    <w:p>
      <w:pPr>
        <w:pStyle w:val="Compact"/>
        <w:numPr>
          <w:ilvl w:val="0"/>
          <w:numId w:val="1007"/>
        </w:numPr>
      </w:pPr>
      <w:r>
        <w:t xml:space="preserve">Roughly one-third from logistics.</w:t>
      </w:r>
    </w:p>
    <w:p>
      <w:pPr>
        <w:pStyle w:val="Compact"/>
        <w:numPr>
          <w:ilvl w:val="0"/>
          <w:numId w:val="1007"/>
        </w:numPr>
      </w:pPr>
      <w:r>
        <w:t xml:space="preserve">Oil derivatives such as resins, petrochemicals, fats and oils were expected to rise more than 20%.</w:t>
      </w:r>
    </w:p>
    <w:p>
      <w:pPr>
        <w:pStyle w:val="Compact"/>
        <w:numPr>
          <w:ilvl w:val="0"/>
          <w:numId w:val="1007"/>
        </w:numPr>
      </w:pPr>
      <w:r>
        <w:t xml:space="preserve">Logistics costs were expected to increase nearly 10%.</w:t>
      </w:r>
    </w:p>
    <w:p>
      <w:pPr>
        <w:pStyle w:val="FirstParagraph"/>
      </w:pPr>
      <w:r>
        <w:t xml:space="preserve">Management planned to offset the pressure through productivity, revenue growth management, premium innovation, mix and selective pricing. It explicitly said broad headline pricing would be approached cautiously in the United States given consumer pressure.</w:t>
      </w:r>
    </w:p>
    <w:bookmarkStart w:id="19" w:name="questions-for-friday"/>
    <w:p>
      <w:pPr>
        <w:pStyle w:val="Heading3"/>
      </w:pPr>
      <w:r>
        <w:t xml:space="preserve">Questions for Friday</w:t>
      </w:r>
    </w:p>
    <w:p>
      <w:pPr>
        <w:pStyle w:val="Compact"/>
        <w:numPr>
          <w:ilvl w:val="0"/>
          <w:numId w:val="1008"/>
        </w:numPr>
      </w:pPr>
      <w:r>
        <w:t xml:space="preserve">Has the expected $300 million cost headwind increased further?</w:t>
      </w:r>
    </w:p>
    <w:p>
      <w:pPr>
        <w:pStyle w:val="Compact"/>
        <w:numPr>
          <w:ilvl w:val="0"/>
          <w:numId w:val="1008"/>
        </w:numPr>
      </w:pPr>
      <w:r>
        <w:t xml:space="preserve">Does the company still assume approximately $110 oil?</w:t>
      </w:r>
    </w:p>
    <w:p>
      <w:pPr>
        <w:pStyle w:val="Compact"/>
        <w:numPr>
          <w:ilvl w:val="0"/>
          <w:numId w:val="1008"/>
        </w:numPr>
      </w:pPr>
      <w:r>
        <w:t xml:space="preserve">Are higher freight and packaging costs arriving earlier than expected?</w:t>
      </w:r>
    </w:p>
    <w:p>
      <w:pPr>
        <w:pStyle w:val="Compact"/>
        <w:numPr>
          <w:ilvl w:val="0"/>
          <w:numId w:val="1008"/>
        </w:numPr>
      </w:pPr>
      <w:r>
        <w:t xml:space="preserve">How much pricing or favorable mix is now embedded in the second-half plan?</w:t>
      </w:r>
    </w:p>
    <w:p>
      <w:pPr>
        <w:pStyle w:val="Compact"/>
        <w:numPr>
          <w:ilvl w:val="0"/>
          <w:numId w:val="1008"/>
        </w:numPr>
      </w:pPr>
      <w:r>
        <w:t xml:space="preserve">Can full-year adjusted EPS guidance be maintained without cutting advertising?</w:t>
      </w:r>
    </w:p>
    <w:p>
      <w:pPr>
        <w:pStyle w:val="Compact"/>
        <w:numPr>
          <w:ilvl w:val="0"/>
          <w:numId w:val="1008"/>
        </w:numPr>
      </w:pPr>
      <w:r>
        <w:t xml:space="preserve">Is “gross margin down” still the right annual framework, or has the expected decline deepened?</w:t>
      </w:r>
    </w:p>
    <w:p>
      <w:pPr>
        <w:pStyle w:val="FirstParagraph"/>
      </w:pPr>
      <w:r>
        <w:t xml:space="preserve">A Q2 gross margin near or above the 60% area, combined with unchanged annual guidance, would probably be viewed as adequate. The bigger risk is another negative gross-margin revision that forces investors to question the durability of EPS growth in 2027.</w:t>
      </w:r>
    </w:p>
    <w:p>
      <w:r>
        <w:pict>
          <v:rect style="width:0;height:1.5pt" o:hralign="center" o:hrstd="t" o:hr="t"/>
        </w:pict>
      </w:r>
    </w:p>
    <w:bookmarkEnd w:id="19"/>
    <w:bookmarkEnd w:id="20"/>
    <w:bookmarkStart w:id="23" w:name="X508d42302ef723e8e2b9f8d09b296c1fa5ba8ef"/>
    <w:p>
      <w:pPr>
        <w:pStyle w:val="Heading2"/>
      </w:pPr>
      <w:r>
        <w:t xml:space="preserve">4. Emerging markets remain the growth engine</w:t>
      </w:r>
    </w:p>
    <w:p>
      <w:pPr>
        <w:pStyle w:val="FirstParagraph"/>
      </w:pPr>
      <w:r>
        <w:t xml:space="preserve">Emerging markets generated 6.2% organic growth in Q1, supported by positive volume and pricing. Their continued strength is crucial because developed-market organic growth was nearly flat.</w:t>
      </w:r>
    </w:p>
    <w:bookmarkStart w:id="21" w:name="latin-america"/>
    <w:p>
      <w:pPr>
        <w:pStyle w:val="Heading3"/>
      </w:pPr>
      <w:r>
        <w:t xml:space="preserve">Latin America</w:t>
      </w:r>
    </w:p>
    <w:p>
      <w:pPr>
        <w:pStyle w:val="FirstParagraph"/>
      </w:pPr>
      <w:r>
        <w:t xml:space="preserve">Latin America contributed 25% of Q1 sales and delivered:</w:t>
      </w:r>
    </w:p>
    <w:p>
      <w:pPr>
        <w:pStyle w:val="Compact"/>
        <w:numPr>
          <w:ilvl w:val="0"/>
          <w:numId w:val="1009"/>
        </w:numPr>
      </w:pPr>
      <w:r>
        <w:t xml:space="preserve">Organic sales growth of</w:t>
      </w:r>
      <w:r>
        <w:t xml:space="preserve"> </w:t>
      </w:r>
      <w:r>
        <w:rPr>
          <w:b/>
          <w:bCs/>
        </w:rPr>
        <w:t xml:space="preserve">5.4%</w:t>
      </w:r>
    </w:p>
    <w:p>
      <w:pPr>
        <w:pStyle w:val="Compact"/>
        <w:numPr>
          <w:ilvl w:val="0"/>
          <w:numId w:val="1009"/>
        </w:numPr>
      </w:pPr>
      <w:r>
        <w:t xml:space="preserve">Volume growth of</w:t>
      </w:r>
      <w:r>
        <w:t xml:space="preserve"> </w:t>
      </w:r>
      <w:r>
        <w:rPr>
          <w:b/>
          <w:bCs/>
        </w:rPr>
        <w:t xml:space="preserve">2.0%</w:t>
      </w:r>
    </w:p>
    <w:p>
      <w:pPr>
        <w:pStyle w:val="Compact"/>
        <w:numPr>
          <w:ilvl w:val="0"/>
          <w:numId w:val="1009"/>
        </w:numPr>
      </w:pPr>
      <w:r>
        <w:t xml:space="preserve">Pricing of</w:t>
      </w:r>
      <w:r>
        <w:t xml:space="preserve"> </w:t>
      </w:r>
      <w:r>
        <w:rPr>
          <w:b/>
          <w:bCs/>
        </w:rPr>
        <w:t xml:space="preserve">3.4%</w:t>
      </w:r>
    </w:p>
    <w:p>
      <w:pPr>
        <w:pStyle w:val="Compact"/>
        <w:numPr>
          <w:ilvl w:val="0"/>
          <w:numId w:val="1009"/>
        </w:numPr>
      </w:pPr>
      <w:r>
        <w:t xml:space="preserve">Operating margin of</w:t>
      </w:r>
      <w:r>
        <w:t xml:space="preserve"> </w:t>
      </w:r>
      <w:r>
        <w:rPr>
          <w:b/>
          <w:bCs/>
        </w:rPr>
        <w:t xml:space="preserve">30.6%</w:t>
      </w:r>
    </w:p>
    <w:p>
      <w:pPr>
        <w:pStyle w:val="FirstParagraph"/>
      </w:pPr>
      <w:r>
        <w:t xml:space="preserve">Management remains confident in Mexico and Brazil and has highlighted premium Oral Care innovation, including Optic and Purple, along with Home Care brands such as Suavitel.</w:t>
      </w:r>
    </w:p>
    <w:p>
      <w:pPr>
        <w:pStyle w:val="BodyText"/>
      </w:pPr>
      <w:r>
        <w:t xml:space="preserve">The watch item is whether growth remains balanced. A result driven solely by pricing would be less reassuring than continued positive volume.</w:t>
      </w:r>
    </w:p>
    <w:bookmarkEnd w:id="21"/>
    <w:bookmarkStart w:id="22" w:name="asia-pacific"/>
    <w:p>
      <w:pPr>
        <w:pStyle w:val="Heading3"/>
      </w:pPr>
      <w:r>
        <w:t xml:space="preserve">Asia Pacific</w:t>
      </w:r>
    </w:p>
    <w:p>
      <w:pPr>
        <w:pStyle w:val="FirstParagraph"/>
      </w:pPr>
      <w:r>
        <w:t xml:space="preserve">Asia Pacific’s 5.6% Q1 organic growth was one of the quarter’s most encouraging developments. Volume increased 4.6%, aided by India and better performance in China.</w:t>
      </w:r>
    </w:p>
    <w:p>
      <w:pPr>
        <w:pStyle w:val="BodyText"/>
      </w:pPr>
      <w:r>
        <w:t xml:space="preserve">Investors should look for:</w:t>
      </w:r>
    </w:p>
    <w:p>
      <w:pPr>
        <w:pStyle w:val="Compact"/>
        <w:numPr>
          <w:ilvl w:val="0"/>
          <w:numId w:val="1010"/>
        </w:numPr>
      </w:pPr>
      <w:r>
        <w:t xml:space="preserve">Continued strength in India.</w:t>
      </w:r>
    </w:p>
    <w:p>
      <w:pPr>
        <w:pStyle w:val="Compact"/>
        <w:numPr>
          <w:ilvl w:val="0"/>
          <w:numId w:val="1010"/>
        </w:numPr>
      </w:pPr>
      <w:r>
        <w:t xml:space="preserve">Further sequential improvement at Hawley &amp; Hazel in China.</w:t>
      </w:r>
    </w:p>
    <w:p>
      <w:pPr>
        <w:pStyle w:val="Compact"/>
        <w:numPr>
          <w:ilvl w:val="0"/>
          <w:numId w:val="1010"/>
        </w:numPr>
      </w:pPr>
      <w:r>
        <w:t xml:space="preserve">Stable performance in the Philippines, Thailand and Malaysia.</w:t>
      </w:r>
    </w:p>
    <w:p>
      <w:pPr>
        <w:pStyle w:val="Compact"/>
        <w:numPr>
          <w:ilvl w:val="0"/>
          <w:numId w:val="1010"/>
        </w:numPr>
      </w:pPr>
      <w:r>
        <w:t xml:space="preserve">Evidence that China’s improvement reflects better execution rather than merely easy comparisons.</w:t>
      </w:r>
    </w:p>
    <w:p>
      <w:pPr>
        <w:pStyle w:val="FirstParagraph"/>
      </w:pPr>
      <w:r>
        <w:t xml:space="preserve">Sustained mid-single-digit Asia growth would help establish that Q1 was more than a one-quarter rebound.</w:t>
      </w:r>
    </w:p>
    <w:p>
      <w:r>
        <w:pict>
          <v:rect style="width:0;height:1.5pt" o:hralign="center" o:hrstd="t" o:hr="t"/>
        </w:pict>
      </w:r>
    </w:p>
    <w:bookmarkEnd w:id="22"/>
    <w:bookmarkEnd w:id="23"/>
    <w:bookmarkStart w:id="25" w:name="X1cf7131c958d340168365ba048343884bdb1859"/>
    <w:p>
      <w:pPr>
        <w:pStyle w:val="Heading2"/>
      </w:pPr>
      <w:r>
        <w:t xml:space="preserve">5. Hill’s should become easier to read</w:t>
      </w:r>
    </w:p>
    <w:p>
      <w:pPr>
        <w:pStyle w:val="FirstParagraph"/>
      </w:pPr>
      <w:r>
        <w:t xml:space="preserve">Hill’s reported only 2.1% Q1 organic growth, but that included a substantial drag from the planned private-label pet-food exit. Excluding private label, management said Hill’s organic sales grew approximately</w:t>
      </w:r>
      <w:r>
        <w:t xml:space="preserve"> </w:t>
      </w:r>
      <w:r>
        <w:rPr>
          <w:b/>
          <w:bCs/>
        </w:rPr>
        <w:t xml:space="preserve">4.8%</w:t>
      </w:r>
      <w:r>
        <w:t xml:space="preserve">, including positive core volume.</w:t>
      </w:r>
    </w:p>
    <w:p>
      <w:pPr>
        <w:pStyle w:val="BodyText"/>
      </w:pPr>
      <w:r>
        <w:t xml:space="preserve">The company previously indicated that the private-label exit would reduce total-company Q2 growth by approximately 20–30 basis points and should be largely out of the comparison by the second half.</w:t>
      </w:r>
    </w:p>
    <w:p>
      <w:pPr>
        <w:pStyle w:val="BodyText"/>
      </w:pPr>
      <w:r>
        <w:t xml:space="preserve">The underlying Hill’s business remains attractive:</w:t>
      </w:r>
    </w:p>
    <w:p>
      <w:pPr>
        <w:pStyle w:val="Compact"/>
        <w:numPr>
          <w:ilvl w:val="0"/>
          <w:numId w:val="1011"/>
        </w:numPr>
      </w:pPr>
      <w:r>
        <w:t xml:space="preserve">U.S. growth was about 5% in Q1 despite a roughly flat category.</w:t>
      </w:r>
    </w:p>
    <w:p>
      <w:pPr>
        <w:pStyle w:val="Compact"/>
        <w:numPr>
          <w:ilvl w:val="0"/>
          <w:numId w:val="1011"/>
        </w:numPr>
      </w:pPr>
      <w:r>
        <w:t xml:space="preserve">Prescription Diet performed particularly well.</w:t>
      </w:r>
    </w:p>
    <w:p>
      <w:pPr>
        <w:pStyle w:val="Compact"/>
        <w:numPr>
          <w:ilvl w:val="0"/>
          <w:numId w:val="1011"/>
        </w:numPr>
      </w:pPr>
      <w:r>
        <w:t xml:space="preserve">Cat, wet food and Small Paws are gaining relevance.</w:t>
      </w:r>
    </w:p>
    <w:p>
      <w:pPr>
        <w:pStyle w:val="Compact"/>
        <w:numPr>
          <w:ilvl w:val="0"/>
          <w:numId w:val="1011"/>
        </w:numPr>
      </w:pPr>
      <w:r>
        <w:t xml:space="preserve">New manufacturing capacity has improved supply and innovation flexibility.</w:t>
      </w:r>
    </w:p>
    <w:p>
      <w:pPr>
        <w:pStyle w:val="Compact"/>
        <w:numPr>
          <w:ilvl w:val="0"/>
          <w:numId w:val="1011"/>
        </w:numPr>
      </w:pPr>
      <w:r>
        <w:t xml:space="preserve">Private-label comparisons should become much cleaner after Q2.</w:t>
      </w:r>
    </w:p>
    <w:bookmarkStart w:id="24" w:name="what-matters"/>
    <w:p>
      <w:pPr>
        <w:pStyle w:val="Heading3"/>
      </w:pPr>
      <w:r>
        <w:t xml:space="preserve">What matters</w:t>
      </w:r>
    </w:p>
    <w:p>
      <w:pPr>
        <w:pStyle w:val="FirstParagraph"/>
      </w:pPr>
      <w:r>
        <w:t xml:space="preserve">Investors should evaluate Hill’s excluding the private-label noise. Core growth in the mid-single digits, accompanied by stable or improving margins, would be a solid result.</w:t>
      </w:r>
    </w:p>
    <w:p>
      <w:pPr>
        <w:pStyle w:val="BodyText"/>
      </w:pPr>
      <w:r>
        <w:t xml:space="preserve">The risks are continued weakness in large-format dry dog food, consumer trade-down and signs that the premium pet-food category is deteriorating more broadly.</w:t>
      </w:r>
    </w:p>
    <w:p>
      <w:r>
        <w:pict>
          <v:rect style="width:0;height:1.5pt" o:hralign="center" o:hrstd="t" o:hr="t"/>
        </w:pict>
      </w:r>
    </w:p>
    <w:bookmarkEnd w:id="24"/>
    <w:bookmarkEnd w:id="25"/>
    <w:bookmarkStart w:id="26" w:name="X40081cda07c2f2739ad6d1a741163594d47ed3e"/>
    <w:p>
      <w:pPr>
        <w:pStyle w:val="Heading2"/>
      </w:pPr>
      <w:r>
        <w:t xml:space="preserve">6. Productivity savings help—but mostly later</w:t>
      </w:r>
    </w:p>
    <w:p>
      <w:pPr>
        <w:pStyle w:val="FirstParagraph"/>
      </w:pPr>
      <w:r>
        <w:t xml:space="preserve">Colgate expanded its Strategic Growth and Productivity Program in Q1:</w:t>
      </w:r>
    </w:p>
    <w:p>
      <w:pPr>
        <w:pStyle w:val="Compact"/>
        <w:numPr>
          <w:ilvl w:val="0"/>
          <w:numId w:val="1012"/>
        </w:numPr>
      </w:pPr>
      <w:r>
        <w:t xml:space="preserve">Estimated cumulative pretax charges:</w:t>
      </w:r>
      <w:r>
        <w:t xml:space="preserve"> </w:t>
      </w:r>
      <m:oMath>
        <m:r>
          <m:t>350</m:t>
        </m:r>
        <m:r>
          <m:t>m</m:t>
        </m:r>
        <m:r>
          <m:t>i</m:t>
        </m:r>
        <m:r>
          <m:t>l</m:t>
        </m:r>
        <m:r>
          <m:t>l</m:t>
        </m:r>
        <m:r>
          <m:t>i</m:t>
        </m:r>
        <m:r>
          <m:t>o</m:t>
        </m:r>
        <m:r>
          <m:t>n</m:t>
        </m:r>
        <m:r>
          <m:rPr>
            <m:sty m:val="p"/>
          </m:rPr>
          <m:t>–</m:t>
        </m:r>
      </m:oMath>
      <w:r>
        <w:rPr>
          <w:b/>
          <w:bCs/>
        </w:rPr>
        <w:t xml:space="preserve">550 million</w:t>
      </w:r>
    </w:p>
    <w:p>
      <w:pPr>
        <w:pStyle w:val="Compact"/>
        <w:numPr>
          <w:ilvl w:val="0"/>
          <w:numId w:val="1012"/>
        </w:numPr>
      </w:pPr>
      <w:r>
        <w:t xml:space="preserve">Expected annualized savings:</w:t>
      </w:r>
      <w:r>
        <w:t xml:space="preserve"> </w:t>
      </w:r>
      <m:oMath>
        <m:r>
          <m:t>200</m:t>
        </m:r>
        <m:r>
          <m:t>m</m:t>
        </m:r>
        <m:r>
          <m:t>i</m:t>
        </m:r>
        <m:r>
          <m:t>l</m:t>
        </m:r>
        <m:r>
          <m:t>l</m:t>
        </m:r>
        <m:r>
          <m:t>i</m:t>
        </m:r>
        <m:r>
          <m:t>o</m:t>
        </m:r>
        <m:r>
          <m:t>n</m:t>
        </m:r>
        <m:r>
          <m:rPr>
            <m:sty m:val="p"/>
          </m:rPr>
          <m:t>–</m:t>
        </m:r>
      </m:oMath>
      <w:r>
        <w:rPr>
          <w:b/>
          <w:bCs/>
        </w:rPr>
        <w:t xml:space="preserve">300 million</w:t>
      </w:r>
    </w:p>
    <w:p>
      <w:pPr>
        <w:pStyle w:val="Compact"/>
        <w:numPr>
          <w:ilvl w:val="0"/>
          <w:numId w:val="1012"/>
        </w:numPr>
      </w:pPr>
      <w:r>
        <w:t xml:space="preserve">Completion remains targeted for the end of 2028.</w:t>
      </w:r>
    </w:p>
    <w:p>
      <w:pPr>
        <w:pStyle w:val="Compact"/>
        <w:numPr>
          <w:ilvl w:val="0"/>
          <w:numId w:val="1012"/>
        </w:numPr>
      </w:pPr>
      <w:r>
        <w:t xml:space="preserve">Most incremental savings are expected in</w:t>
      </w:r>
      <w:r>
        <w:t xml:space="preserve"> </w:t>
      </w:r>
      <w:r>
        <w:rPr>
          <w:b/>
          <w:bCs/>
        </w:rPr>
        <w:t xml:space="preserve">2027 and 2028</w:t>
      </w:r>
      <w:r>
        <w:t xml:space="preserve">.</w:t>
      </w:r>
    </w:p>
    <w:p>
      <w:pPr>
        <w:pStyle w:val="FirstParagraph"/>
      </w:pPr>
      <w:r>
        <w:t xml:space="preserve">The program supports the long-term margin and investment story, but investors should not count on it to fully solve the immediate Q2 cost problem.</w:t>
      </w:r>
    </w:p>
    <w:p>
      <w:pPr>
        <w:pStyle w:val="BodyText"/>
      </w:pPr>
      <w:r>
        <w:t xml:space="preserve">For Friday, the relevant issues are:</w:t>
      </w:r>
    </w:p>
    <w:p>
      <w:pPr>
        <w:pStyle w:val="Compact"/>
        <w:numPr>
          <w:ilvl w:val="0"/>
          <w:numId w:val="1013"/>
        </w:numPr>
      </w:pPr>
      <w:r>
        <w:t xml:space="preserve">Whether implementation is on schedule.</w:t>
      </w:r>
    </w:p>
    <w:p>
      <w:pPr>
        <w:pStyle w:val="Compact"/>
        <w:numPr>
          <w:ilvl w:val="0"/>
          <w:numId w:val="1013"/>
        </w:numPr>
      </w:pPr>
      <w:r>
        <w:t xml:space="preserve">Whether savings can arrive earlier without impairing execution.</w:t>
      </w:r>
    </w:p>
    <w:p>
      <w:pPr>
        <w:pStyle w:val="Compact"/>
        <w:numPr>
          <w:ilvl w:val="0"/>
          <w:numId w:val="1013"/>
        </w:numPr>
      </w:pPr>
      <w:r>
        <w:t xml:space="preserve">How management divides savings between brand investment and the bottom line.</w:t>
      </w:r>
    </w:p>
    <w:p>
      <w:pPr>
        <w:pStyle w:val="Compact"/>
        <w:numPr>
          <w:ilvl w:val="0"/>
          <w:numId w:val="1013"/>
        </w:numPr>
      </w:pPr>
      <w:r>
        <w:t xml:space="preserve">Whether restructuring charges have increased again.</w:t>
      </w:r>
    </w:p>
    <w:p>
      <w:pPr>
        <w:pStyle w:val="FirstParagraph"/>
      </w:pPr>
      <w:r>
        <w:t xml:space="preserve">Management has been clear that cuts to advertising, data and AI investment are not its preferred response to inflation. Maintaining that stance while preserving EPS guidance would support confidence in the business model.</w:t>
      </w:r>
    </w:p>
    <w:p>
      <w:r>
        <w:pict>
          <v:rect style="width:0;height:1.5pt" o:hralign="center" o:hrstd="t" o:hr="t"/>
        </w:pict>
      </w:r>
    </w:p>
    <w:bookmarkEnd w:id="26"/>
    <w:bookmarkStart w:id="27" w:name="guidance-the-likely-battleground"/>
    <w:p>
      <w:pPr>
        <w:pStyle w:val="Heading2"/>
      </w:pPr>
      <w:r>
        <w:t xml:space="preserve">Guidance: the likely battleground</w:t>
      </w:r>
    </w:p>
    <w:p>
      <w:pPr>
        <w:pStyle w:val="FirstParagraph"/>
      </w:pPr>
      <w:r>
        <w:t xml:space="preserve">Current 2026 guidance calls for:</w:t>
      </w:r>
    </w:p>
    <w:p>
      <w:pPr>
        <w:pStyle w:val="Compact"/>
        <w:numPr>
          <w:ilvl w:val="0"/>
          <w:numId w:val="1014"/>
        </w:numPr>
      </w:pPr>
      <w:r>
        <w:t xml:space="preserve">Net sales growth of</w:t>
      </w:r>
      <w:r>
        <w:t xml:space="preserve"> </w:t>
      </w:r>
      <w:r>
        <w:rPr>
          <w:b/>
          <w:bCs/>
        </w:rPr>
        <w:t xml:space="preserve">2%–6%</w:t>
      </w:r>
      <w:r>
        <w:t xml:space="preserve">, including a low-single-digit currency benefit.</w:t>
      </w:r>
    </w:p>
    <w:p>
      <w:pPr>
        <w:pStyle w:val="Compact"/>
        <w:numPr>
          <w:ilvl w:val="0"/>
          <w:numId w:val="1014"/>
        </w:numPr>
      </w:pPr>
      <w:r>
        <w:t xml:space="preserve">Organic sales growth of</w:t>
      </w:r>
      <w:r>
        <w:t xml:space="preserve"> </w:t>
      </w:r>
      <w:r>
        <w:rPr>
          <w:b/>
          <w:bCs/>
        </w:rPr>
        <w:t xml:space="preserve">1%–4%</w:t>
      </w:r>
      <w:r>
        <w:t xml:space="preserve">.</w:t>
      </w:r>
    </w:p>
    <w:p>
      <w:pPr>
        <w:pStyle w:val="Compact"/>
        <w:numPr>
          <w:ilvl w:val="0"/>
          <w:numId w:val="1014"/>
        </w:numPr>
      </w:pPr>
      <w:r>
        <w:t xml:space="preserve">Full-year gross margin</w:t>
      </w:r>
      <w:r>
        <w:t xml:space="preserve"> </w:t>
      </w:r>
      <w:r>
        <w:rPr>
          <w:b/>
          <w:bCs/>
        </w:rPr>
        <w:t xml:space="preserve">down</w:t>
      </w:r>
      <w:r>
        <w:t xml:space="preserve">.</w:t>
      </w:r>
    </w:p>
    <w:p>
      <w:pPr>
        <w:pStyle w:val="Compact"/>
        <w:numPr>
          <w:ilvl w:val="0"/>
          <w:numId w:val="1014"/>
        </w:numPr>
      </w:pPr>
      <w:r>
        <w:t xml:space="preserve">Advertising up in dollars and as a percentage of sales.</w:t>
      </w:r>
    </w:p>
    <w:p>
      <w:pPr>
        <w:pStyle w:val="Compact"/>
        <w:numPr>
          <w:ilvl w:val="0"/>
          <w:numId w:val="1014"/>
        </w:numPr>
      </w:pPr>
      <w:r>
        <w:t xml:space="preserve">Adjusted EPS growth of</w:t>
      </w:r>
      <w:r>
        <w:t xml:space="preserve"> </w:t>
      </w:r>
      <w:r>
        <w:rPr>
          <w:b/>
          <w:bCs/>
        </w:rPr>
        <w:t xml:space="preserve">low to mid-single digits</w:t>
      </w:r>
      <w:r>
        <w:t xml:space="preserve">.</w:t>
      </w:r>
    </w:p>
    <w:p>
      <w:pPr>
        <w:pStyle w:val="FirstParagraph"/>
      </w:pPr>
      <w:r>
        <w:t xml:space="preserve">Based on 2025 adjusted EPS of</w:t>
      </w:r>
      <w:r>
        <w:t xml:space="preserve"> </w:t>
      </w:r>
      <m:oMath>
        <m:r>
          <m:t>3.69</m:t>
        </m:r>
        <m:r>
          <m:rPr>
            <m:sty m:val="p"/>
          </m:rPr>
          <m:t>,</m:t>
        </m:r>
        <m:r>
          <m:t>t</m:t>
        </m:r>
        <m:r>
          <m:t>h</m:t>
        </m:r>
        <m:r>
          <m:t>e</m:t>
        </m:r>
        <m:r>
          <m:t>E</m:t>
        </m:r>
        <m:r>
          <m:t>P</m:t>
        </m:r>
        <m:r>
          <m:t>S</m:t>
        </m:r>
        <m:r>
          <m:t>f</m:t>
        </m:r>
        <m:r>
          <m:t>r</m:t>
        </m:r>
        <m:r>
          <m:t>a</m:t>
        </m:r>
        <m:r>
          <m:t>m</m:t>
        </m:r>
        <m:r>
          <m:t>e</m:t>
        </m:r>
        <m:r>
          <m:t>w</m:t>
        </m:r>
        <m:r>
          <m:t>o</m:t>
        </m:r>
        <m:r>
          <m:t>r</m:t>
        </m:r>
        <m:r>
          <m:t>k</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t xml:space="preserve">3.80–$3.87** for 2026. At $91.62, CL trades at roughly</w:t>
      </w:r>
      <w:r>
        <w:t xml:space="preserve"> </w:t>
      </w:r>
      <w:r>
        <w:rPr>
          <w:b/>
          <w:bCs/>
        </w:rPr>
        <w:t xml:space="preserve">24 times</w:t>
      </w:r>
      <w:r>
        <w:t xml:space="preserve"> </w:t>
      </w:r>
      <w:r>
        <w:t xml:space="preserve">that range.</w:t>
      </w:r>
    </w:p>
    <w:p>
      <w:pPr>
        <w:pStyle w:val="BodyText"/>
      </w:pPr>
      <w:r>
        <w:t xml:space="preserve">That valuation does not require rapid growth, but it does require dependable execution. Maintaining guidance with a credible path to margin stabilization would likely be sufficient. A lower EPS forecast would be more damaging than a modest Q2 revenue miss.</w:t>
      </w:r>
    </w:p>
    <w:p>
      <w:r>
        <w:pict>
          <v:rect style="width:0;height:1.5pt" o:hralign="center" o:hrstd="t" o:hr="t"/>
        </w:pict>
      </w:r>
    </w:p>
    <w:bookmarkEnd w:id="27"/>
    <w:bookmarkStart w:id="28" w:name="scenario-framework"/>
    <w:p>
      <w:pPr>
        <w:pStyle w:val="Heading2"/>
      </w:pPr>
      <w:r>
        <w:t xml:space="preserve">Scenario framework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Scenario</w:t>
            </w:r>
          </w:p>
        </w:tc>
        <w:tc>
          <w:tcPr/>
          <w:p>
            <w:pPr>
              <w:pStyle w:val="Compact"/>
            </w:pPr>
            <w:r>
              <w:t xml:space="preserve">What it might look like</w:t>
            </w:r>
          </w:p>
        </w:tc>
        <w:tc>
          <w:tcPr/>
          <w:p>
            <w:pPr>
              <w:pStyle w:val="Compact"/>
            </w:pPr>
            <w:r>
              <w:t xml:space="preserve">Likely interpretation</w:t>
            </w:r>
          </w:p>
        </w:tc>
      </w:tr>
      <w:tr>
        <w:tc>
          <w:tcPr/>
          <w:p>
            <w:pPr>
              <w:pStyle w:val="Compact"/>
            </w:pPr>
            <w:r>
              <w:rPr>
                <w:b/>
                <w:bCs/>
              </w:rPr>
              <w:t xml:space="preserve">Bull case</w:t>
            </w:r>
          </w:p>
        </w:tc>
        <w:tc>
          <w:tcPr/>
          <w:p>
            <w:pPr>
              <w:pStyle w:val="Compact"/>
            </w:pPr>
            <w:r>
              <w:t xml:space="preserve">Organic growth above 3.5%; positive volume; North America approaches flat; Hill’s core growth near 5%; gross margin better than feared; guidance maintained with a constructive second-half outlook</w:t>
            </w:r>
          </w:p>
        </w:tc>
        <w:tc>
          <w:tcPr/>
          <w:p>
            <w:pPr>
              <w:pStyle w:val="Compact"/>
            </w:pPr>
            <w:r>
              <w:t xml:space="preserve">Q1 momentum is durable and cost mitigation is working</w:t>
            </w:r>
          </w:p>
        </w:tc>
      </w:tr>
      <w:tr>
        <w:tc>
          <w:tcPr/>
          <w:p>
            <w:pPr>
              <w:pStyle w:val="Compact"/>
            </w:pPr>
            <w:r>
              <w:rPr>
                <w:b/>
                <w:bCs/>
              </w:rPr>
              <w:t xml:space="preserve">Base case</w:t>
            </w:r>
          </w:p>
        </w:tc>
        <w:tc>
          <w:tcPr/>
          <w:p>
            <w:pPr>
              <w:pStyle w:val="Compact"/>
            </w:pPr>
            <w:r>
              <w:t xml:space="preserve">Organic growth of 2%–3%; North America remains negative but improves; emerging markets stay healthy; gross margin declines; full-year guidance is reiterated</w:t>
            </w:r>
          </w:p>
        </w:tc>
        <w:tc>
          <w:tcPr/>
          <w:p>
            <w:pPr>
              <w:pStyle w:val="Compact"/>
            </w:pPr>
            <w:r>
              <w:t xml:space="preserve">Adequate execution, but limited reason for meaningful multiple expansion</w:t>
            </w:r>
          </w:p>
        </w:tc>
      </w:tr>
      <w:tr>
        <w:tc>
          <w:tcPr/>
          <w:p>
            <w:pPr>
              <w:pStyle w:val="Compact"/>
            </w:pPr>
            <w:r>
              <w:rPr>
                <w:b/>
                <w:bCs/>
              </w:rPr>
              <w:t xml:space="preserve">Bear case</w:t>
            </w:r>
          </w:p>
        </w:tc>
        <w:tc>
          <w:tcPr/>
          <w:p>
            <w:pPr>
              <w:pStyle w:val="Compact"/>
            </w:pPr>
            <w:r>
              <w:t xml:space="preserve">Organic growth below 2%; company-wide volume turns negative; North America fails to improve; Asia slows; cost assumptions rise again; gross-margin or EPS guidance is reduced</w:t>
            </w:r>
          </w:p>
        </w:tc>
        <w:tc>
          <w:tcPr/>
          <w:p>
            <w:pPr>
              <w:pStyle w:val="Compact"/>
            </w:pPr>
            <w:r>
              <w:t xml:space="preserve">Growth and margin pressures are becoming structural rather than temporary</w:t>
            </w:r>
          </w:p>
        </w:tc>
      </w:tr>
    </w:tbl>
    <w:p>
      <w:r>
        <w:pict>
          <v:rect style="width:0;height:1.5pt" o:hralign="center" o:hrstd="t" o:hr="t"/>
        </w:pict>
      </w:r>
    </w:p>
    <w:bookmarkEnd w:id="28"/>
    <w:bookmarkStart w:id="29" w:name="stock-setup"/>
    <w:p>
      <w:pPr>
        <w:pStyle w:val="Heading2"/>
      </w:pPr>
      <w:r>
        <w:t xml:space="preserve">Stock setup</w:t>
      </w:r>
    </w:p>
    <w:p>
      <w:pPr>
        <w:pStyle w:val="FirstParagraph"/>
      </w:pPr>
      <w:r>
        <w:t xml:space="preserve">CL closed July 30 at $91.62:</w:t>
      </w:r>
    </w:p>
    <w:p>
      <w:pPr>
        <w:pStyle w:val="Compact"/>
        <w:numPr>
          <w:ilvl w:val="0"/>
          <w:numId w:val="1015"/>
        </w:numPr>
      </w:pPr>
      <w:r>
        <w:t xml:space="preserve">Up approximately</w:t>
      </w:r>
      <w:r>
        <w:t xml:space="preserve"> </w:t>
      </w:r>
      <w:r>
        <w:rPr>
          <w:b/>
          <w:bCs/>
        </w:rPr>
        <w:t xml:space="preserve">18% year to date</w:t>
      </w:r>
      <w:r>
        <w:t xml:space="preserve">.</w:t>
      </w:r>
    </w:p>
    <w:p>
      <w:pPr>
        <w:pStyle w:val="Compact"/>
        <w:numPr>
          <w:ilvl w:val="0"/>
          <w:numId w:val="1015"/>
        </w:numPr>
      </w:pPr>
      <w:r>
        <w:t xml:space="preserve">Ahead of both the S&amp;P 500 and the Consumer Staples Select Sector SPDR over that period.</w:t>
      </w:r>
    </w:p>
    <w:p>
      <w:pPr>
        <w:pStyle w:val="Compact"/>
        <w:numPr>
          <w:ilvl w:val="0"/>
          <w:numId w:val="1015"/>
        </w:numPr>
      </w:pPr>
      <w:r>
        <w:t xml:space="preserve">About</w:t>
      </w:r>
      <w:r>
        <w:t xml:space="preserve"> </w:t>
      </w:r>
      <w:r>
        <w:rPr>
          <w:b/>
          <w:bCs/>
        </w:rPr>
        <w:t xml:space="preserve">8% below</w:t>
      </w:r>
      <w:r>
        <w:t xml:space="preserve"> </w:t>
      </w:r>
      <w:r>
        <w:t xml:space="preserve">its late-February high.</w:t>
      </w:r>
    </w:p>
    <w:p>
      <w:pPr>
        <w:pStyle w:val="Compact"/>
        <w:numPr>
          <w:ilvl w:val="0"/>
          <w:numId w:val="1015"/>
        </w:numPr>
      </w:pPr>
      <w:r>
        <w:t xml:space="preserve">Roughly flat during July despite a volatile macro backdrop.</w:t>
      </w:r>
    </w:p>
    <w:p>
      <w:pPr>
        <w:pStyle w:val="FirstParagraph"/>
      </w:pPr>
      <w:r>
        <w:t xml:space="preserve">The stock’s outperformance and approximately 24x earnings multiple create an asymmetrical setup: the company does not need a spectacular quarter, but investors are unlikely to overlook another material deterioration in the cost or North American outlook.</w:t>
      </w:r>
    </w:p>
    <w:p>
      <w:r>
        <w:pict>
          <v:rect style="width:0;height:1.5pt" o:hralign="center" o:hrstd="t" o:hr="t"/>
        </w:pict>
      </w:r>
    </w:p>
    <w:bookmarkEnd w:id="29"/>
    <w:bookmarkStart w:id="30" w:name="bottom-line"/>
    <w:p>
      <w:pPr>
        <w:pStyle w:val="Heading2"/>
      </w:pPr>
      <w:r>
        <w:t xml:space="preserve">Bottom line</w:t>
      </w:r>
    </w:p>
    <w:p>
      <w:pPr>
        <w:pStyle w:val="FirstParagraph"/>
      </w:pPr>
      <w:r>
        <w:t xml:space="preserve">The strongest part of the CL thesis remains its global diversification: Latin America is highly profitable, Asia has begun to recover, and Hill’s continues to outgrow its category. The weakest part remains North America, where the company is attempting a multiyear reset just as the consumer and category environment soften.</w:t>
      </w:r>
    </w:p>
    <w:p>
      <w:pPr>
        <w:pStyle w:val="BodyText"/>
      </w:pPr>
      <w:r>
        <w:t xml:space="preserve">For this quarter,</w:t>
      </w:r>
      <w:r>
        <w:t xml:space="preserve"> </w:t>
      </w:r>
      <w:r>
        <w:rPr>
          <w:b/>
          <w:bCs/>
        </w:rPr>
        <w:t xml:space="preserve">gross-margin credibility matters more than the precise EPS beat or miss</w:t>
      </w:r>
      <w:r>
        <w:t xml:space="preserve">. The best outcome would combine positive organic volume, measurable North American improvement and unchanged annual guidance despite the oil and logistics shock.</w:t>
      </w:r>
    </w:p>
    <w:p>
      <w:pPr>
        <w:pStyle w:val="BodyText"/>
      </w:pPr>
      <w:r>
        <w:t xml:space="preserve">A modest headline beat without progress on those issues would be low quality. Conversely, even an in-line quarter could be received well if management demonstrates that the May cost reset was conservative and that the full-year EPS algorithm remains intact.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colgatepalmolive.com/investor-news?ReleasesType=Earnings&amp;page=1&amp;utm_source=openai" TargetMode="External" /><Relationship Type="http://schemas.openxmlformats.org/officeDocument/2006/relationships/hyperlink" Id="rId13" Target="https://investor.colgatepalmolive.com/news-releases/news-release-details/colgate-announces-1st-quarter-2026-results?utm_source=openai" TargetMode="External" /><Relationship Type="http://schemas.openxmlformats.org/officeDocument/2006/relationships/hyperlink" Id="rId11" Target="https://www.benzinga.com/quote/cl/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colgatepalmolive.com/investor-news?ReleasesType=Earnings&amp;page=1&amp;utm_source=openai" TargetMode="External" /><Relationship Type="http://schemas.openxmlformats.org/officeDocument/2006/relationships/hyperlink" Id="rId13" Target="https://investor.colgatepalmolive.com/news-releases/news-release-details/colgate-announces-1st-quarter-2026-results?utm_source=openai" TargetMode="External" /><Relationship Type="http://schemas.openxmlformats.org/officeDocument/2006/relationships/hyperlink" Id="rId11" Target="https://www.benzinga.com/quote/cl/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2026-07-31T00:09:30Z</dcterms:created>
  <dcterms:modified xsi:type="dcterms:W3CDTF">2026-07-31T00:09:30Z</dcterms:modified>
</cp:coreProperties>
</file>

<file path=docProps/custom.xml><?xml version="1.0" encoding="utf-8"?>
<Properties xmlns="http://schemas.openxmlformats.org/officeDocument/2006/custom-properties" xmlns:vt="http://schemas.openxmlformats.org/officeDocument/2006/docPropsVTypes"/>
</file>