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l-earnings-predictions--2026-07-31"/>
    <w:p>
      <w:pPr>
        <w:pStyle w:val="Heading1"/>
      </w:pPr>
      <w:r>
        <w:t xml:space="preserve">CL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~$0.98 vs. cons $0.95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~$5.41B vs. cons $5.36B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sales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~3.1% vs. cons 2.8%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organic sales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~1.0%-4.0% vs. cons 2.7%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base-business EPS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~3.0%-5.0% vs. cons 4.1%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gross-margin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~-1.0% vs. cons -0.5%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(FOLLOW-THROUGH)</w:t>
            </w:r>
          </w:p>
        </w:tc>
        <w:tc>
          <w:tcPr/>
          <w:p>
            <w:pPr>
              <w:pStyle w:val="Compact"/>
            </w:pPr>
            <w:r>
              <w:t xml:space="preserve">A modest ~$0.03 EPS beat and ~0.3-point organic-growth beat are likely outweighed by guide ~-1.0% gross-margin growth versus cons -0.5%; that ~0.5-point incremental margin headwind implies lower 2H and FY27 earnings power, driving estimate revisions down after the report.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2026-07-31T00:07:56Z</dcterms:created>
  <dcterms:modified xsi:type="dcterms:W3CDTF">2026-07-31T00:07:56Z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