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9cca81f19aa769bfd711175701f7f247bc043f"/>
    <w:p>
      <w:pPr>
        <w:pStyle w:val="Heading1"/>
      </w:pPr>
      <w:r>
        <w:t xml:space="preserve">Colgate-Palmolive (NYSE: CL) — 2Q26 Earnings Preview</w:t>
      </w:r>
    </w:p>
    <w:p>
      <w:pPr>
        <w:pStyle w:val="FirstParagraph"/>
      </w:pPr>
      <w:r>
        <w:rPr>
          <w:b/>
          <w:bCs/>
        </w:rPr>
        <w:t xml:space="preserve">Report timing:</w:t>
      </w:r>
      <w:r>
        <w:t xml:space="preserve"> </w:t>
      </w:r>
      <w:r>
        <w:t xml:space="preserve">Friday, July 31, 2026, before market open</w:t>
      </w:r>
      <w:r>
        <w:br/>
      </w:r>
      <w:r>
        <w:rPr>
          <w:b/>
          <w:bCs/>
        </w:rPr>
        <w:t xml:space="preserve">Earnings call:</w:t>
      </w:r>
      <w:r>
        <w:t xml:space="preserve"> </w:t>
      </w:r>
      <w:r>
        <w:t xml:space="preserve">8:30 a.m. ET</w:t>
      </w:r>
      <w:r>
        <w:br/>
      </w:r>
      <w:r>
        <w:rPr>
          <w:b/>
          <w:bCs/>
        </w:rPr>
        <w:t xml:space="preserve">Street baseline:</w:t>
      </w:r>
      <w:r>
        <w:t xml:space="preserve"> </w:t>
      </w:r>
      <w:r>
        <w:t xml:space="preserve">consensus appears to be approximately</w:t>
      </w:r>
      <w:r>
        <w:t xml:space="preserve"> </w:t>
      </w:r>
      <m:oMath>
        <m:r>
          <m:t>0.95</m:t>
        </m:r>
        <m:r>
          <m:t>a</m:t>
        </m:r>
        <m:r>
          <m:t>d</m:t>
        </m:r>
        <m:r>
          <m:t>j</m:t>
        </m:r>
        <m:r>
          <m:t>u</m:t>
        </m:r>
        <m:r>
          <m:t>s</m:t>
        </m:r>
        <m:r>
          <m:t>t</m:t>
        </m:r>
        <m:r>
          <m:t>e</m:t>
        </m:r>
        <m:r>
          <m:t>d</m:t>
        </m:r>
        <m:r>
          <m:t>E</m:t>
        </m:r>
        <m:r>
          <m:t>P</m:t>
        </m:r>
        <m:r>
          <m:t>S</m:t>
        </m:r>
        <m:r>
          <m:rPr>
            <m:sty m:val="p"/>
          </m:rPr>
          <m:t>*</m:t>
        </m:r>
        <m:r>
          <m:rPr>
            <m:sty m:val="p"/>
          </m:rPr>
          <m:t>*</m:t>
        </m:r>
        <m:r>
          <m:t>o</m:t>
        </m:r>
        <m:r>
          <m:t>n</m:t>
        </m:r>
        <m:r>
          <m:rPr>
            <m:sty m:val="p"/>
          </m:rPr>
          <m:t>*</m:t>
        </m:r>
        <m:r>
          <m:rPr>
            <m:sty m:val="p"/>
          </m:rPr>
          <m:t>*</m:t>
        </m:r>
      </m:oMath>
      <w:r>
        <w:rPr>
          <w:b/>
          <w:bCs/>
        </w:rPr>
        <w:t xml:space="preserve">5.36 billion of revenue</w:t>
      </w:r>
      <w:r>
        <w:t xml:space="preserve">. (</w:t>
      </w:r>
      <w:hyperlink r:id="rId9">
        <w:r>
          <w:rPr>
            <w:rStyle w:val="Hyperlink"/>
          </w:rPr>
          <w:t xml:space="preserve">tipranks.com</w:t>
        </w:r>
      </w:hyperlink>
      <w:r>
        <w:t xml:space="preserve">)</w:t>
      </w:r>
    </w:p>
    <w:bookmarkStart w:id="10" w:name="Xd0939d2a9458525f902056b44a0e2558ed6b193"/>
    <w:p>
      <w:pPr>
        <w:pStyle w:val="Heading2"/>
      </w:pPr>
      <w:r>
        <w:t xml:space="preserve">Investment view: execution and the full-year margin algorithm matter more than a modest EPS beat</w:t>
      </w:r>
    </w:p>
    <w:p>
      <w:pPr>
        <w:pStyle w:val="FirstParagraph"/>
      </w:pPr>
      <w:r>
        <w:t xml:space="preserve">Colgate enters 2Q with a relatively constructive setup: first-quarter organic growth accelerated sequentially, emerging-market performance was broad-based, Hill’s continued to outgrow its category excluding the private-label exit, and management maintained its full-year sales and adjusted-EPS outlook. The central issue for the quarter is whether those positives are sufficient to offset the cost, tariff, and North American execution pressure that prompted the company to cut its full-year gross-margin outlook in May.</w:t>
      </w:r>
    </w:p>
    <w:p>
      <w:pPr>
        <w:pStyle w:val="BodyText"/>
      </w:pPr>
      <w:r>
        <w:t xml:space="preserve">The market will likely focus less on whether CL meets a roughly $0.95 adjusted-EPS consensus and more on three questions:</w:t>
      </w:r>
    </w:p>
    <w:p>
      <w:pPr>
        <w:pStyle w:val="Compact"/>
        <w:numPr>
          <w:ilvl w:val="0"/>
          <w:numId w:val="1001"/>
        </w:numPr>
      </w:pPr>
      <w:r>
        <w:rPr>
          <w:b/>
          <w:bCs/>
        </w:rPr>
        <w:t xml:space="preserve">Did organic growth remain in the company’s 1%–4% full-year range, with healthy volume?</w:t>
      </w:r>
    </w:p>
    <w:p>
      <w:pPr>
        <w:pStyle w:val="Compact"/>
        <w:numPr>
          <w:ilvl w:val="0"/>
          <w:numId w:val="1001"/>
        </w:numPr>
      </w:pPr>
      <w:r>
        <w:rPr>
          <w:b/>
          <w:bCs/>
        </w:rPr>
        <w:t xml:space="preserve">Has North America begun its expected sequential recovery?</w:t>
      </w:r>
    </w:p>
    <w:p>
      <w:pPr>
        <w:pStyle w:val="Compact"/>
        <w:numPr>
          <w:ilvl w:val="0"/>
          <w:numId w:val="1001"/>
        </w:numPr>
      </w:pPr>
      <w:r>
        <w:rPr>
          <w:b/>
          <w:bCs/>
        </w:rPr>
        <w:t xml:space="preserve">Can management still defend low- to mid-single-digit base-business EPS growth despite commodity, logistics, and tariff pressure?</w:t>
      </w:r>
    </w:p>
    <w:p>
      <w:pPr>
        <w:pStyle w:val="FirstParagraph"/>
      </w:pPr>
      <w:r>
        <w:t xml:space="preserve">CL closed July 30 at</w:t>
      </w:r>
      <w:r>
        <w:t xml:space="preserve"> </w:t>
      </w:r>
      <w:r>
        <w:rPr>
          <w:b/>
          <w:bCs/>
        </w:rPr>
        <w:t xml:space="preserve">$91.62</w:t>
      </w:r>
      <w:r>
        <w:t xml:space="preserve">. That is about</w:t>
      </w:r>
      <w:r>
        <w:t xml:space="preserve"> </w:t>
      </w:r>
      <w:r>
        <w:rPr>
          <w:b/>
          <w:bCs/>
        </w:rPr>
        <w:t xml:space="preserve">5.0% above</w:t>
      </w:r>
      <w:r>
        <w:t xml:space="preserve"> </w:t>
      </w:r>
      <w:r>
        <w:t xml:space="preserve">its May 1 close following first-quarter results, though still</w:t>
      </w:r>
      <w:r>
        <w:t xml:space="preserve"> </w:t>
      </w:r>
      <w:r>
        <w:rPr>
          <w:b/>
          <w:bCs/>
        </w:rPr>
        <w:t xml:space="preserve">3.7% below</w:t>
      </w:r>
      <w:r>
        <w:t xml:space="preserve"> </w:t>
      </w:r>
      <w:r>
        <w:t xml:space="preserve">its July 2 peak of $95.13. This suggests investors have recognized the resilience of the business but remain attentive to the margin and guidance risks.</w:t>
      </w:r>
    </w:p>
    <w:p>
      <w:r>
        <w:pict>
          <v:rect style="width:0;height:1.5pt" o:hralign="center" o:hrstd="t" o:hr="t"/>
        </w:pict>
      </w:r>
    </w:p>
    <w:bookmarkEnd w:id="10"/>
    <w:bookmarkStart w:id="13" w:name="what-happened-in-1qand-why-it-frames-2q"/>
    <w:p>
      <w:pPr>
        <w:pStyle w:val="Heading2"/>
      </w:pPr>
      <w:r>
        <w:t xml:space="preserve">What happened in 1Q—and why it frames 2Q</w:t>
      </w:r>
    </w:p>
    <w:p>
      <w:pPr>
        <w:pStyle w:val="FirstParagraph"/>
      </w:pPr>
      <w:r>
        <w:t xml:space="preserve">Colgate’s first quarter was a solid underlying operating result masked by restructuring charges.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result</w:t>
            </w:r>
          </w:p>
        </w:tc>
        <w:tc>
          <w:tcPr/>
          <w:p>
            <w:pPr>
              <w:pStyle w:val="Compact"/>
              <w:jc w:val="right"/>
            </w:pPr>
            <w:r>
              <w:t xml:space="preserve">Result</w:t>
            </w:r>
          </w:p>
        </w:tc>
        <w:tc>
          <w:tcPr/>
          <w:p>
            <w:pPr>
              <w:pStyle w:val="Compact"/>
            </w:pPr>
            <w:r>
              <w:t xml:space="preserve">Investor read-through</w:t>
            </w:r>
          </w:p>
        </w:tc>
      </w:tr>
      <w:tr>
        <w:tc>
          <w:tcPr/>
          <w:p>
            <w:pPr>
              <w:pStyle w:val="Compact"/>
            </w:pPr>
            <w:r>
              <w:t xml:space="preserve">Net sales growth</w:t>
            </w:r>
          </w:p>
        </w:tc>
        <w:tc>
          <w:tcPr/>
          <w:p>
            <w:pPr>
              <w:pStyle w:val="Compact"/>
              <w:jc w:val="right"/>
            </w:pPr>
            <w:r>
              <w:rPr>
                <w:b/>
                <w:bCs/>
              </w:rPr>
              <w:t xml:space="preserve">+8.4%</w:t>
            </w:r>
          </w:p>
        </w:tc>
        <w:tc>
          <w:tcPr/>
          <w:p>
            <w:pPr>
              <w:pStyle w:val="Compact"/>
            </w:pPr>
            <w:r>
              <w:t xml:space="preserve">Helped materially by FX</w:t>
            </w:r>
          </w:p>
        </w:tc>
      </w:tr>
      <w:tr>
        <w:tc>
          <w:tcPr/>
          <w:p>
            <w:pPr>
              <w:pStyle w:val="Compact"/>
            </w:pPr>
            <w:r>
              <w:t xml:space="preserve">Organic sales growth</w:t>
            </w:r>
          </w:p>
        </w:tc>
        <w:tc>
          <w:tcPr/>
          <w:p>
            <w:pPr>
              <w:pStyle w:val="Compact"/>
              <w:jc w:val="right"/>
            </w:pPr>
            <w:r>
              <w:rPr>
                <w:b/>
                <w:bCs/>
              </w:rPr>
              <w:t xml:space="preserve">+2.9%</w:t>
            </w:r>
          </w:p>
        </w:tc>
        <w:tc>
          <w:tcPr/>
          <w:p>
            <w:pPr>
              <w:pStyle w:val="Compact"/>
            </w:pPr>
            <w:r>
              <w:t xml:space="preserve">Within the full-year 1%–4% framework</w:t>
            </w:r>
          </w:p>
        </w:tc>
      </w:tr>
      <w:tr>
        <w:tc>
          <w:tcPr/>
          <w:p>
            <w:pPr>
              <w:pStyle w:val="Compact"/>
            </w:pPr>
            <w:r>
              <w:t xml:space="preserve">Volume</w:t>
            </w:r>
          </w:p>
        </w:tc>
        <w:tc>
          <w:tcPr/>
          <w:p>
            <w:pPr>
              <w:pStyle w:val="Compact"/>
              <w:jc w:val="right"/>
            </w:pPr>
            <w:r>
              <w:rPr>
                <w:b/>
                <w:bCs/>
              </w:rPr>
              <w:t xml:space="preserve">+1.1%</w:t>
            </w:r>
          </w:p>
        </w:tc>
        <w:tc>
          <w:tcPr/>
          <w:p>
            <w:pPr>
              <w:pStyle w:val="Compact"/>
            </w:pPr>
            <w:r>
              <w:t xml:space="preserve">Improved versus late-2025 trends</w:t>
            </w:r>
          </w:p>
        </w:tc>
      </w:tr>
      <w:tr>
        <w:tc>
          <w:tcPr/>
          <w:p>
            <w:pPr>
              <w:pStyle w:val="Compact"/>
            </w:pPr>
            <w:r>
              <w:t xml:space="preserve">Pricing</w:t>
            </w:r>
          </w:p>
        </w:tc>
        <w:tc>
          <w:tcPr/>
          <w:p>
            <w:pPr>
              <w:pStyle w:val="Compact"/>
              <w:jc w:val="right"/>
            </w:pPr>
            <w:r>
              <w:rPr>
                <w:b/>
                <w:bCs/>
              </w:rPr>
              <w:t xml:space="preserve">+2.2%</w:t>
            </w:r>
          </w:p>
        </w:tc>
        <w:tc>
          <w:tcPr/>
          <w:p>
            <w:pPr>
              <w:pStyle w:val="Compact"/>
            </w:pPr>
            <w:r>
              <w:t xml:space="preserve">Still a meaningful growth contributor</w:t>
            </w:r>
          </w:p>
        </w:tc>
      </w:tr>
      <w:tr>
        <w:tc>
          <w:tcPr/>
          <w:p>
            <w:pPr>
              <w:pStyle w:val="Compact"/>
            </w:pPr>
            <w:r>
              <w:t xml:space="preserve">Base-business EPS</w:t>
            </w:r>
          </w:p>
        </w:tc>
        <w:tc>
          <w:tcPr/>
          <w:p>
            <w:pPr>
              <w:pStyle w:val="Compact"/>
              <w:jc w:val="right"/>
            </w:pPr>
            <w:r>
              <w:rPr>
                <w:b/>
                <w:bCs/>
              </w:rPr>
              <w:t xml:space="preserve">$0.97, +7% YoY</w:t>
            </w:r>
          </w:p>
        </w:tc>
        <w:tc>
          <w:tcPr/>
          <w:p>
            <w:pPr>
              <w:pStyle w:val="Compact"/>
            </w:pPr>
            <w:r>
              <w:t xml:space="preserve">Above the roughly $0.94 consensus cited by market-data providers</w:t>
            </w:r>
          </w:p>
        </w:tc>
      </w:tr>
      <w:tr>
        <w:tc>
          <w:tcPr/>
          <w:p>
            <w:pPr>
              <w:pStyle w:val="Compact"/>
            </w:pPr>
            <w:r>
              <w:t xml:space="preserve">Reported EPS</w:t>
            </w:r>
          </w:p>
        </w:tc>
        <w:tc>
          <w:tcPr/>
          <w:p>
            <w:pPr>
              <w:pStyle w:val="Compact"/>
              <w:jc w:val="right"/>
            </w:pPr>
            <w:r>
              <w:rPr>
                <w:b/>
                <w:bCs/>
              </w:rPr>
              <w:t xml:space="preserve">$0.80, -6% YoY</w:t>
            </w:r>
          </w:p>
        </w:tc>
        <w:tc>
          <w:tcPr/>
          <w:p>
            <w:pPr>
              <w:pStyle w:val="Compact"/>
            </w:pPr>
            <w:r>
              <w:t xml:space="preserve">Impacted by Strategic Growth and Productivity Program charges</w:t>
            </w:r>
          </w:p>
        </w:tc>
      </w:tr>
      <w:tr>
        <w:tc>
          <w:tcPr/>
          <w:p>
            <w:pPr>
              <w:pStyle w:val="Compact"/>
            </w:pPr>
            <w:r>
              <w:t xml:space="preserve">Base-business operating margin</w:t>
            </w:r>
          </w:p>
        </w:tc>
        <w:tc>
          <w:tcPr/>
          <w:p>
            <w:pPr>
              <w:pStyle w:val="Compact"/>
              <w:jc w:val="right"/>
            </w:pPr>
            <w:r>
              <w:rPr>
                <w:b/>
                <w:bCs/>
              </w:rPr>
              <w:t xml:space="preserve">21.3%, -90 bps YoY</w:t>
            </w:r>
          </w:p>
        </w:tc>
        <w:tc>
          <w:tcPr/>
          <w:p>
            <w:pPr>
              <w:pStyle w:val="Compact"/>
            </w:pPr>
            <w:r>
              <w:t xml:space="preserve">The key pressure point entering 2Q</w:t>
            </w:r>
          </w:p>
        </w:tc>
      </w:tr>
    </w:tbl>
    <w:p>
      <w:pPr>
        <w:pStyle w:val="BodyText"/>
      </w:pPr>
      <w:r>
        <w:t xml:space="preserve">Colgate maintained its 2026 outlook for</w:t>
      </w:r>
      <w:r>
        <w:t xml:space="preserve"> </w:t>
      </w:r>
      <w:r>
        <w:rPr>
          <w:b/>
          <w:bCs/>
        </w:rPr>
        <w:t xml:space="preserve">2%–6% reported sales growth</w:t>
      </w:r>
      <w:r>
        <w:t xml:space="preserve">,</w:t>
      </w:r>
      <w:r>
        <w:t xml:space="preserve"> </w:t>
      </w:r>
      <w:r>
        <w:rPr>
          <w:b/>
          <w:bCs/>
        </w:rPr>
        <w:t xml:space="preserve">1%–4% organic growth</w:t>
      </w:r>
      <w:r>
        <w:t xml:space="preserve">, and</w:t>
      </w:r>
      <w:r>
        <w:t xml:space="preserve"> </w:t>
      </w:r>
      <w:r>
        <w:rPr>
          <w:b/>
          <w:bCs/>
        </w:rPr>
        <w:t xml:space="preserve">low- to mid-single-digit base-business EPS growth</w:t>
      </w:r>
      <w:r>
        <w:t xml:space="preserve">. However, it changed its gross-margin expectation to a year-over-year decline, versus prior expectations for expansion, while maintaining plans to raise advertising spending in both dollars and as a percentage of sales. (</w:t>
      </w:r>
      <w:hyperlink r:id="rId11">
        <w:r>
          <w:rPr>
            <w:rStyle w:val="Hyperlink"/>
          </w:rPr>
          <w:t xml:space="preserve">colgatepalmolivecompany.gcs-web.com</w:t>
        </w:r>
      </w:hyperlink>
      <w:r>
        <w:t xml:space="preserve">)</w:t>
      </w:r>
    </w:p>
    <w:bookmarkStart w:id="12" w:name="the-1q-takeaway"/>
    <w:p>
      <w:pPr>
        <w:pStyle w:val="Heading3"/>
      </w:pPr>
      <w:r>
        <w:t xml:space="preserve">The 1Q takeaway</w:t>
      </w:r>
    </w:p>
    <w:p>
      <w:pPr>
        <w:pStyle w:val="FirstParagraph"/>
      </w:pPr>
      <w:r>
        <w:t xml:space="preserve">The company demonstrated it can still generate volume growth and EPS growth while investing behind brands. But its ability to do so depends on ongoing revenue-growth management, productivity, mix, and innovation—and not on gross-margin expansion. That makes 2Q commentary on cost recovery and second-half pricing particularly important.</w:t>
      </w:r>
    </w:p>
    <w:p>
      <w:r>
        <w:pict>
          <v:rect style="width:0;height:1.5pt" o:hralign="center" o:hrstd="t" o:hr="t"/>
        </w:pict>
      </w:r>
    </w:p>
    <w:bookmarkEnd w:id="12"/>
    <w:bookmarkEnd w:id="13"/>
    <w:bookmarkStart w:id="14" w:name="the-key-earnings-debates"/>
    <w:p>
      <w:pPr>
        <w:pStyle w:val="Heading2"/>
      </w:pPr>
      <w:r>
        <w:t xml:space="preserve">The key earnings debates</w:t>
      </w:r>
    </w:p>
    <w:bookmarkEnd w:id="14"/>
    <w:bookmarkStart w:id="16" w:name="X2e31c9fc7ca1de81a8a7fd500600e7c52806e78"/>
    <w:p>
      <w:pPr>
        <w:pStyle w:val="Heading2"/>
      </w:pPr>
      <w:r>
        <w:t xml:space="preserve">1. Organic growth quality: volume durability versus pricing dependence</w:t>
      </w:r>
    </w:p>
    <w:p>
      <w:pPr>
        <w:pStyle w:val="FirstParagraph"/>
      </w:pPr>
      <w:r>
        <w:t xml:space="preserve">In 1Q, Colgate produced</w:t>
      </w:r>
      <w:r>
        <w:t xml:space="preserve"> </w:t>
      </w:r>
      <w:r>
        <w:rPr>
          <w:b/>
          <w:bCs/>
        </w:rPr>
        <w:t xml:space="preserve">2.9% organic growth</w:t>
      </w:r>
      <w:r>
        <w:t xml:space="preserve">, comprised of</w:t>
      </w:r>
      <w:r>
        <w:t xml:space="preserve"> </w:t>
      </w:r>
      <w:r>
        <w:rPr>
          <w:b/>
          <w:bCs/>
        </w:rPr>
        <w:t xml:space="preserve">1.1% volume</w:t>
      </w:r>
      <w:r>
        <w:t xml:space="preserve"> </w:t>
      </w:r>
      <w:r>
        <w:t xml:space="preserve">and</w:t>
      </w:r>
      <w:r>
        <w:t xml:space="preserve"> </w:t>
      </w:r>
      <w:r>
        <w:rPr>
          <w:b/>
          <w:bCs/>
        </w:rPr>
        <w:t xml:space="preserve">2.2% pricing</w:t>
      </w:r>
      <w:r>
        <w:t xml:space="preserve">. Management stressed broad-based growth across categories and four of five geographic divisions, with especially encouraging acceleration in Asia-Pacific and emerging markets. (</w:t>
      </w:r>
      <w:hyperlink r:id="rId15">
        <w:r>
          <w:rPr>
            <w:rStyle w:val="Hyperlink"/>
          </w:rPr>
          <w:t xml:space="preserve">investor.colgatepalmolive.com</w:t>
        </w:r>
      </w:hyperlink>
      <w:r>
        <w:t xml:space="preserve">)</w:t>
      </w:r>
    </w:p>
    <w:p>
      <w:pPr>
        <w:pStyle w:val="BodyText"/>
      </w:pPr>
      <w:r>
        <w:t xml:space="preserve">For 2Q, investors should assess:</w:t>
      </w:r>
    </w:p>
    <w:p>
      <w:pPr>
        <w:pStyle w:val="Compact"/>
        <w:numPr>
          <w:ilvl w:val="0"/>
          <w:numId w:val="1002"/>
        </w:numPr>
      </w:pPr>
      <w:r>
        <w:t xml:space="preserve">Whether total-company volume remains positive.</w:t>
      </w:r>
    </w:p>
    <w:p>
      <w:pPr>
        <w:pStyle w:val="Compact"/>
        <w:numPr>
          <w:ilvl w:val="0"/>
          <w:numId w:val="1002"/>
        </w:numPr>
      </w:pPr>
      <w:r>
        <w:t xml:space="preserve">Whether emerging markets retain their momentum, particularly</w:t>
      </w:r>
      <w:r>
        <w:t xml:space="preserve"> </w:t>
      </w:r>
      <w:r>
        <w:rPr>
          <w:b/>
          <w:bCs/>
        </w:rPr>
        <w:t xml:space="preserve">Latin America</w:t>
      </w:r>
      <w:r>
        <w:t xml:space="preserve"> </w:t>
      </w:r>
      <w:r>
        <w:t xml:space="preserve">and</w:t>
      </w:r>
      <w:r>
        <w:t xml:space="preserve"> </w:t>
      </w:r>
      <w:r>
        <w:rPr>
          <w:b/>
          <w:bCs/>
        </w:rPr>
        <w:t xml:space="preserve">Asia-Pacific</w:t>
      </w:r>
      <w:r>
        <w:t xml:space="preserve">.</w:t>
      </w:r>
    </w:p>
    <w:p>
      <w:pPr>
        <w:pStyle w:val="Compact"/>
        <w:numPr>
          <w:ilvl w:val="0"/>
          <w:numId w:val="1002"/>
        </w:numPr>
      </w:pPr>
      <w:r>
        <w:t xml:space="preserve">Whether additional pricing is being achieved primarily through innovation and mix, rather than broad list-price actions that could pressure category demand.</w:t>
      </w:r>
    </w:p>
    <w:p>
      <w:pPr>
        <w:pStyle w:val="Compact"/>
        <w:numPr>
          <w:ilvl w:val="0"/>
          <w:numId w:val="1002"/>
        </w:numPr>
      </w:pPr>
      <w:r>
        <w:t xml:space="preserve">Whether growth in developed markets remains subdued, as it was in 1Q.</w:t>
      </w:r>
    </w:p>
    <w:p>
      <w:pPr>
        <w:pStyle w:val="FirstParagraph"/>
      </w:pPr>
      <w:r>
        <w:t xml:space="preserve">A result near the midpoint of the organic-growth guide with stable-to-improving volume would be a constructive outcome. A sharp deceleration in volume, particularly in emerging markets, would weaken the case that Colgate can offset inflation while preserving brand investment.</w:t>
      </w:r>
    </w:p>
    <w:bookmarkEnd w:id="16"/>
    <w:bookmarkStart w:id="17" w:name="X77c6e4c167dae6b84b17076e82c76cab99cbe3c"/>
    <w:p>
      <w:pPr>
        <w:pStyle w:val="Heading2"/>
      </w:pPr>
      <w:r>
        <w:t xml:space="preserve">2. North America is the most important operational swing factor</w:t>
      </w:r>
    </w:p>
    <w:p>
      <w:pPr>
        <w:pStyle w:val="FirstParagraph"/>
      </w:pPr>
      <w:r>
        <w:t xml:space="preserve">North America was the clear weak spot in 1Q: organic sales declined</w:t>
      </w:r>
      <w:r>
        <w:t xml:space="preserve"> </w:t>
      </w:r>
      <w:r>
        <w:rPr>
          <w:b/>
          <w:bCs/>
        </w:rPr>
        <w:t xml:space="preserve">2.2%</w:t>
      </w:r>
      <w:r>
        <w:t xml:space="preserve">, with volume down</w:t>
      </w:r>
      <w:r>
        <w:t xml:space="preserve"> </w:t>
      </w:r>
      <w:r>
        <w:rPr>
          <w:b/>
          <w:bCs/>
        </w:rPr>
        <w:t xml:space="preserve">3.2%</w:t>
      </w:r>
      <w:r>
        <w:t xml:space="preserve"> </w:t>
      </w:r>
      <w:r>
        <w:t xml:space="preserve">and pricing up</w:t>
      </w:r>
      <w:r>
        <w:t xml:space="preserve"> </w:t>
      </w:r>
      <w:r>
        <w:rPr>
          <w:b/>
          <w:bCs/>
        </w:rPr>
        <w:t xml:space="preserve">1.0%</w:t>
      </w:r>
      <w:r>
        <w:t xml:space="preserve">. Segment operating profit fell</w:t>
      </w:r>
      <w:r>
        <w:t xml:space="preserve"> </w:t>
      </w:r>
      <w:r>
        <w:rPr>
          <w:b/>
          <w:bCs/>
        </w:rPr>
        <w:t xml:space="preserve">28%</w:t>
      </w:r>
      <w:r>
        <w:t xml:space="preserve">, and operating margin contracted</w:t>
      </w:r>
      <w:r>
        <w:t xml:space="preserve"> </w:t>
      </w:r>
      <w:r>
        <w:rPr>
          <w:b/>
          <w:bCs/>
        </w:rPr>
        <w:t xml:space="preserve">590 bps</w:t>
      </w:r>
      <w:r>
        <w:t xml:space="preserve"> </w:t>
      </w:r>
      <w:r>
        <w:t xml:space="preserve">to 15.8%. (</w:t>
      </w:r>
      <w:hyperlink r:id="rId15">
        <w:r>
          <w:rPr>
            <w:rStyle w:val="Hyperlink"/>
          </w:rPr>
          <w:t xml:space="preserve">investor.colgatepalmolive.com</w:t>
        </w:r>
      </w:hyperlink>
      <w:r>
        <w:t xml:space="preserve">)</w:t>
      </w:r>
    </w:p>
    <w:p>
      <w:pPr>
        <w:pStyle w:val="BodyText"/>
      </w:pPr>
      <w:r>
        <w:t xml:space="preserve">Management attributed some weakness to delayed shelf resets and later-than-expected new-product shipments, while outlining a recovery plan centered on:</w:t>
      </w:r>
    </w:p>
    <w:p>
      <w:pPr>
        <w:pStyle w:val="Compact"/>
        <w:numPr>
          <w:ilvl w:val="0"/>
          <w:numId w:val="1003"/>
        </w:numPr>
      </w:pPr>
      <w:r>
        <w:t xml:space="preserve">Brand interventions and faster innovation;</w:t>
      </w:r>
    </w:p>
    <w:p>
      <w:pPr>
        <w:pStyle w:val="Compact"/>
        <w:numPr>
          <w:ilvl w:val="0"/>
          <w:numId w:val="1003"/>
        </w:numPr>
      </w:pPr>
      <w:r>
        <w:t xml:space="preserve">Improved retailer and promotional execution;</w:t>
      </w:r>
    </w:p>
    <w:p>
      <w:pPr>
        <w:pStyle w:val="Compact"/>
        <w:numPr>
          <w:ilvl w:val="0"/>
          <w:numId w:val="1003"/>
        </w:numPr>
      </w:pPr>
      <w:r>
        <w:t xml:space="preserve">Revenue-growth management;</w:t>
      </w:r>
    </w:p>
    <w:p>
      <w:pPr>
        <w:pStyle w:val="Compact"/>
        <w:numPr>
          <w:ilvl w:val="0"/>
          <w:numId w:val="1003"/>
        </w:numPr>
      </w:pPr>
      <w:r>
        <w:t xml:space="preserve">Greater investment behind oral care, home care, and personal care.</w:t>
      </w:r>
    </w:p>
    <w:p>
      <w:pPr>
        <w:pStyle w:val="FirstParagraph"/>
      </w:pPr>
      <w:r>
        <w:t xml:space="preserve">The 2Q report should show whether these interventions began to translate into better shipment trends and share performance. Management had indicated that improvement should emerge sequentially during the year, so another materially negative North American volume result would likely be viewed poorly.</w:t>
      </w:r>
    </w:p>
    <w:p>
      <w:pPr>
        <w:pStyle w:val="BodyText"/>
      </w:pPr>
      <w:r>
        <w:rPr>
          <w:b/>
          <w:bCs/>
        </w:rPr>
        <w:t xml:space="preserve">What would be constructive:</w:t>
      </w:r>
      <w:r>
        <w:t xml:space="preserve"> </w:t>
      </w:r>
      <w:r>
        <w:t xml:space="preserve">organic-sales and volume improvement versus 1Q, even if the business remains modestly negative year over year.</w:t>
      </w:r>
    </w:p>
    <w:p>
      <w:pPr>
        <w:pStyle w:val="BodyText"/>
      </w:pPr>
      <w:r>
        <w:rPr>
          <w:b/>
          <w:bCs/>
        </w:rPr>
        <w:t xml:space="preserve">What would be concerning:</w:t>
      </w:r>
      <w:r>
        <w:t xml:space="preserve"> </w:t>
      </w:r>
      <w:r>
        <w:t xml:space="preserve">another quarter of roughly -3% volume, with no clear evidence that innovation and shelf-reset timing have improved.</w:t>
      </w:r>
    </w:p>
    <w:bookmarkEnd w:id="17"/>
    <w:bookmarkStart w:id="18" w:name="X85da9432a600580eb00a99e1fc759b47033f5fb"/>
    <w:p>
      <w:pPr>
        <w:pStyle w:val="Heading2"/>
      </w:pPr>
      <w:r>
        <w:t xml:space="preserve">3. Hill’s: core pet-nutrition growth needs to reaccelerate as the private-label drag fades</w:t>
      </w:r>
    </w:p>
    <w:p>
      <w:pPr>
        <w:pStyle w:val="FirstParagraph"/>
      </w:pPr>
      <w:r>
        <w:t xml:space="preserve">Hill’s reported only</w:t>
      </w:r>
      <w:r>
        <w:t xml:space="preserve"> </w:t>
      </w:r>
      <w:r>
        <w:rPr>
          <w:b/>
          <w:bCs/>
        </w:rPr>
        <w:t xml:space="preserve">2.1% organic growth</w:t>
      </w:r>
      <w:r>
        <w:t xml:space="preserve"> </w:t>
      </w:r>
      <w:r>
        <w:t xml:space="preserve">in 1Q, but that included a</w:t>
      </w:r>
      <w:r>
        <w:t xml:space="preserve"> </w:t>
      </w:r>
      <w:r>
        <w:rPr>
          <w:b/>
          <w:bCs/>
        </w:rPr>
        <w:t xml:space="preserve">260-basis-point drag</w:t>
      </w:r>
      <w:r>
        <w:t xml:space="preserve"> </w:t>
      </w:r>
      <w:r>
        <w:t xml:space="preserve">from Colgate’s exit from private-label pet food. Management said core Hill’s organic growth was</w:t>
      </w:r>
      <w:r>
        <w:t xml:space="preserve"> </w:t>
      </w:r>
      <w:r>
        <w:rPr>
          <w:b/>
          <w:bCs/>
        </w:rPr>
        <w:t xml:space="preserve">4.8%</w:t>
      </w:r>
      <w:r>
        <w:t xml:space="preserve">, including 5% growth in the U.S., and expected the private-label headwind to fall to roughly</w:t>
      </w:r>
      <w:r>
        <w:t xml:space="preserve"> </w:t>
      </w:r>
      <w:r>
        <w:rPr>
          <w:b/>
          <w:bCs/>
        </w:rPr>
        <w:t xml:space="preserve">20–30 bps at the total-company level in 2Q</w:t>
      </w:r>
      <w:r>
        <w:t xml:space="preserve"> </w:t>
      </w:r>
      <w:r>
        <w:t xml:space="preserve">before disappearing in the second half. (</w:t>
      </w:r>
      <w:hyperlink r:id="rId15">
        <w:r>
          <w:rPr>
            <w:rStyle w:val="Hyperlink"/>
          </w:rPr>
          <w:t xml:space="preserve">investor.colgatepalmolive.com</w:t>
        </w:r>
      </w:hyperlink>
      <w:r>
        <w:t xml:space="preserve">)</w:t>
      </w:r>
    </w:p>
    <w:p>
      <w:pPr>
        <w:pStyle w:val="BodyText"/>
      </w:pPr>
      <w:r>
        <w:t xml:space="preserve">This creates a cleaner 2Q comparison. Investors should focus on:</w:t>
      </w:r>
    </w:p>
    <w:p>
      <w:pPr>
        <w:pStyle w:val="Compact"/>
        <w:numPr>
          <w:ilvl w:val="0"/>
          <w:numId w:val="1004"/>
        </w:numPr>
      </w:pPr>
      <w:r>
        <w:t xml:space="preserve">Core Hill’s volume and pricing excluding private label;</w:t>
      </w:r>
    </w:p>
    <w:p>
      <w:pPr>
        <w:pStyle w:val="Compact"/>
        <w:numPr>
          <w:ilvl w:val="0"/>
          <w:numId w:val="1004"/>
        </w:numPr>
      </w:pPr>
      <w:r>
        <w:t xml:space="preserve">Prescription Diet and Science Diet performance;</w:t>
      </w:r>
    </w:p>
    <w:p>
      <w:pPr>
        <w:pStyle w:val="Compact"/>
        <w:numPr>
          <w:ilvl w:val="0"/>
          <w:numId w:val="1004"/>
        </w:numPr>
      </w:pPr>
      <w:r>
        <w:t xml:space="preserve">Market-share trends, shelf-space gains, and innovation;</w:t>
      </w:r>
    </w:p>
    <w:p>
      <w:pPr>
        <w:pStyle w:val="Compact"/>
        <w:numPr>
          <w:ilvl w:val="0"/>
          <w:numId w:val="1004"/>
        </w:numPr>
      </w:pPr>
      <w:r>
        <w:t xml:space="preserve">Commentary around the soft dry-dog category;</w:t>
      </w:r>
    </w:p>
    <w:p>
      <w:pPr>
        <w:pStyle w:val="Compact"/>
        <w:numPr>
          <w:ilvl w:val="0"/>
          <w:numId w:val="1004"/>
        </w:numPr>
      </w:pPr>
      <w:r>
        <w:t xml:space="preserve">Evidence that Hill’s is sustaining growth despite a subdued premium-pet category.</w:t>
      </w:r>
    </w:p>
    <w:p>
      <w:pPr>
        <w:pStyle w:val="FirstParagraph"/>
      </w:pPr>
      <w:r>
        <w:t xml:space="preserve">Hill’s is important because it represents roughly</w:t>
      </w:r>
      <w:r>
        <w:t xml:space="preserve"> </w:t>
      </w:r>
      <w:r>
        <w:rPr>
          <w:b/>
          <w:bCs/>
        </w:rPr>
        <w:t xml:space="preserve">22% of company sales</w:t>
      </w:r>
      <w:r>
        <w:t xml:space="preserve"> </w:t>
      </w:r>
      <w:r>
        <w:t xml:space="preserve">and offers a differentiated, science-led profit pool. A better reported growth rate in 2Q as the private-label headwind moderates would help the consolidated top-line narrative. (</w:t>
      </w:r>
      <w:hyperlink r:id="rId15">
        <w:r>
          <w:rPr>
            <w:rStyle w:val="Hyperlink"/>
          </w:rPr>
          <w:t xml:space="preserve">investor.colgatepalmolive.com</w:t>
        </w:r>
      </w:hyperlink>
      <w:r>
        <w:t xml:space="preserve">)</w:t>
      </w:r>
    </w:p>
    <w:bookmarkEnd w:id="18"/>
    <w:bookmarkStart w:id="19" w:name="Xb2f16e033957c4d17c27735d82c90cf9357ff3d"/>
    <w:p>
      <w:pPr>
        <w:pStyle w:val="Heading2"/>
      </w:pPr>
      <w:r>
        <w:t xml:space="preserve">4. Inflation, tariffs, and gross margin: the decisive guidance issue</w:t>
      </w:r>
    </w:p>
    <w:p>
      <w:pPr>
        <w:pStyle w:val="FirstParagraph"/>
      </w:pPr>
      <w:r>
        <w:t xml:space="preserve">Management incorporated roughly</w:t>
      </w:r>
      <w:r>
        <w:t xml:space="preserve"> </w:t>
      </w:r>
      <m:oMath>
        <m:r>
          <m:t>300</m:t>
        </m:r>
        <m:r>
          <m:t>m</m:t>
        </m:r>
        <m:r>
          <m:t>i</m:t>
        </m:r>
        <m:r>
          <m:t>l</m:t>
        </m:r>
        <m:r>
          <m:t>l</m:t>
        </m:r>
        <m:r>
          <m:t>i</m:t>
        </m:r>
        <m:r>
          <m:t>o</m:t>
        </m:r>
        <m:r>
          <m:t>n</m:t>
        </m:r>
        <m:r>
          <m:rPr>
            <m:sty m:val="p"/>
          </m:rPr>
          <m:t>*</m:t>
        </m:r>
        <m:r>
          <m:rPr>
            <m:sty m:val="p"/>
          </m:rPr>
          <m:t>*</m:t>
        </m:r>
        <m:r>
          <m:t>o</m:t>
        </m:r>
        <m:r>
          <m:t>f</m:t>
        </m:r>
        <m:r>
          <m:t>i</m:t>
        </m:r>
        <m:r>
          <m:t>n</m:t>
        </m:r>
        <m:r>
          <m:t>c</m:t>
        </m:r>
        <m:r>
          <m:t>r</m:t>
        </m:r>
        <m:r>
          <m:t>e</m:t>
        </m:r>
        <m:r>
          <m:t>m</m:t>
        </m:r>
        <m:r>
          <m:t>e</m:t>
        </m:r>
        <m:r>
          <m:t>n</m:t>
        </m:r>
        <m:r>
          <m:t>t</m:t>
        </m:r>
        <m:r>
          <m:t>a</m:t>
        </m:r>
        <m:r>
          <m:t>l</m:t>
        </m:r>
        <m:r>
          <m:t>f</m:t>
        </m:r>
        <m:r>
          <m:t>u</m:t>
        </m:r>
        <m:r>
          <m:t>l</m:t>
        </m:r>
        <m:r>
          <m:t>l</m:t>
        </m:r>
        <m:r>
          <m:rPr>
            <m:sty m:val="p"/>
          </m:rPr>
          <m:t>−</m:t>
        </m:r>
        <m:r>
          <m:t>y</m:t>
        </m:r>
        <m:r>
          <m:t>e</m:t>
        </m:r>
        <m:r>
          <m:t>a</m:t>
        </m:r>
        <m:r>
          <m:t>r</m:t>
        </m:r>
        <m:r>
          <m:t>r</m:t>
        </m:r>
        <m:r>
          <m:t>a</m:t>
        </m:r>
        <m:r>
          <m:t>w</m:t>
        </m:r>
        <m:r>
          <m:rPr>
            <m:sty m:val="p"/>
          </m:rPr>
          <m:t>−</m:t>
        </m:r>
        <m:r>
          <m:t>m</m:t>
        </m:r>
        <m:r>
          <m:t>a</m:t>
        </m:r>
        <m:r>
          <m:t>t</m:t>
        </m:r>
        <m:r>
          <m:t>e</m:t>
        </m:r>
        <m:r>
          <m:t>r</m:t>
        </m:r>
        <m:r>
          <m:t>i</m:t>
        </m:r>
        <m:r>
          <m:t>a</m:t>
        </m:r>
        <m:r>
          <m:t>l</m:t>
        </m:r>
        <m:r>
          <m:t>a</m:t>
        </m:r>
        <m:r>
          <m:t>n</m:t>
        </m:r>
        <m:r>
          <m:t>d</m:t>
        </m:r>
        <m:r>
          <m:t>l</m:t>
        </m:r>
        <m:r>
          <m:t>o</m:t>
        </m:r>
        <m:r>
          <m:t>g</m:t>
        </m:r>
        <m:r>
          <m:t>i</m:t>
        </m:r>
        <m:r>
          <m:t>s</m:t>
        </m:r>
        <m:r>
          <m:t>t</m:t>
        </m:r>
        <m:r>
          <m:t>i</m:t>
        </m:r>
        <m:r>
          <m:t>c</m:t>
        </m:r>
        <m:r>
          <m:t>s</m:t>
        </m:r>
        <m:r>
          <m:t>c</m:t>
        </m:r>
        <m:r>
          <m:t>o</m:t>
        </m:r>
        <m:r>
          <m:t>s</m:t>
        </m:r>
        <m:r>
          <m:t>t</m:t>
        </m:r>
        <m:r>
          <m:t>s</m:t>
        </m:r>
        <m:r>
          <m:t>i</m:t>
        </m:r>
        <m:r>
          <m:t>n</m:t>
        </m:r>
        <m:r>
          <m:t>t</m:t>
        </m:r>
        <m:r>
          <m:t>o</m:t>
        </m:r>
        <m:r>
          <m:t>i</m:t>
        </m:r>
        <m:r>
          <m:t>t</m:t>
        </m:r>
        <m:r>
          <m:t>s</m:t>
        </m:r>
        <m:r>
          <m:t>M</m:t>
        </m:r>
        <m:r>
          <m:t>a</m:t>
        </m:r>
        <m:r>
          <m:t>y</m:t>
        </m:r>
        <m:r>
          <m:t>o</m:t>
        </m:r>
        <m:r>
          <m:t>u</m:t>
        </m:r>
        <m:r>
          <m:t>t</m:t>
        </m:r>
        <m:r>
          <m:t>l</m:t>
        </m:r>
        <m:r>
          <m:t>o</m:t>
        </m:r>
        <m:r>
          <m:t>o</m:t>
        </m:r>
        <m:r>
          <m:t>k</m:t>
        </m:r>
        <m:r>
          <m:rPr>
            <m:sty m:val="p"/>
          </m:rPr>
          <m:t>.</m:t>
        </m:r>
        <m:r>
          <m:t>I</m:t>
        </m:r>
        <m:r>
          <m:t>t</m:t>
        </m:r>
        <m:r>
          <m:t>s</m:t>
        </m:r>
        <m:r>
          <m:t>a</m:t>
        </m:r>
        <m:r>
          <m:t>s</m:t>
        </m:r>
        <m:r>
          <m:t>s</m:t>
        </m:r>
        <m:r>
          <m:t>u</m:t>
        </m:r>
        <m:r>
          <m:t>m</m:t>
        </m:r>
        <m:r>
          <m:t>p</m:t>
        </m:r>
        <m:r>
          <m:t>t</m:t>
        </m:r>
        <m:r>
          <m:t>i</m:t>
        </m:r>
        <m:r>
          <m:t>o</m:t>
        </m:r>
        <m:r>
          <m:t>n</m:t>
        </m:r>
        <m:r>
          <m:t>w</m:t>
        </m:r>
        <m:r>
          <m:t>a</m:t>
        </m:r>
        <m:r>
          <m:t>s</m:t>
        </m:r>
        <m:r>
          <m:t>r</m:t>
        </m:r>
        <m:r>
          <m:t>o</m:t>
        </m:r>
        <m:r>
          <m:t>u</m:t>
        </m:r>
        <m:r>
          <m:t>g</m:t>
        </m:r>
        <m:r>
          <m:t>h</m:t>
        </m:r>
        <m:r>
          <m:t>l</m:t>
        </m:r>
        <m:r>
          <m:t>y</m:t>
        </m:r>
        <m:r>
          <m:rPr>
            <m:sty m:val="p"/>
          </m:rPr>
          <m:t>*</m:t>
        </m:r>
        <m:r>
          <m:rPr>
            <m:sty m:val="p"/>
          </m:rPr>
          <m:t>*</m:t>
        </m:r>
      </m:oMath>
      <w:r>
        <w:rPr>
          <w:b/>
          <w:bCs/>
        </w:rPr>
        <w:t xml:space="preserve">110 oil for the balance of 2026</w:t>
      </w:r>
      <w:r>
        <w:t xml:space="preserve">, with the incremental cost burden described as about two-thirds raw materials and one-third logistics. Resins, petrochemicals, fats and oils were cited as key exposures, while logistics costs were expected to rise nearly 10%. (</w:t>
      </w:r>
      <w:hyperlink r:id="rId15">
        <w:r>
          <w:rPr>
            <w:rStyle w:val="Hyperlink"/>
          </w:rPr>
          <w:t xml:space="preserve">investor.colgatepalmolive.com</w:t>
        </w:r>
      </w:hyperlink>
      <w:r>
        <w:t xml:space="preserve">)</w:t>
      </w:r>
    </w:p>
    <w:p>
      <w:pPr>
        <w:pStyle w:val="BodyText"/>
      </w:pPr>
      <w:r>
        <w:t xml:space="preserve">North America is particularly exposed because it bears most of the tariff impact, and management noted that tariffs and raw materials drove significant year-over-year pressure in the region during 1Q. (</w:t>
      </w:r>
      <w:hyperlink r:id="rId15">
        <w:r>
          <w:rPr>
            <w:rStyle w:val="Hyperlink"/>
          </w:rPr>
          <w:t xml:space="preserve">investor.colgatepalmolive.com</w:t>
        </w:r>
      </w:hyperlink>
      <w:r>
        <w:t xml:space="preserve">)</w:t>
      </w:r>
    </w:p>
    <w:p>
      <w:pPr>
        <w:pStyle w:val="BodyText"/>
      </w:pPr>
      <w:r>
        <w:t xml:space="preserve">The earnings-call focus should be:</w:t>
      </w:r>
    </w:p>
    <w:p>
      <w:pPr>
        <w:pStyle w:val="Compact"/>
        <w:numPr>
          <w:ilvl w:val="0"/>
          <w:numId w:val="1005"/>
        </w:numPr>
      </w:pPr>
      <w:r>
        <w:t xml:space="preserve">Has the cost outlook improved, worsened, or remained stable since May?</w:t>
      </w:r>
    </w:p>
    <w:p>
      <w:pPr>
        <w:pStyle w:val="Compact"/>
        <w:numPr>
          <w:ilvl w:val="0"/>
          <w:numId w:val="1005"/>
        </w:numPr>
      </w:pPr>
      <w:r>
        <w:t xml:space="preserve">Is the $110 oil assumption still appropriate?</w:t>
      </w:r>
    </w:p>
    <w:p>
      <w:pPr>
        <w:pStyle w:val="Compact"/>
        <w:numPr>
          <w:ilvl w:val="0"/>
          <w:numId w:val="1005"/>
        </w:numPr>
      </w:pPr>
      <w:r>
        <w:t xml:space="preserve">Are tariffs changing in ways that alter the full-year outlook?</w:t>
      </w:r>
    </w:p>
    <w:p>
      <w:pPr>
        <w:pStyle w:val="Compact"/>
        <w:numPr>
          <w:ilvl w:val="0"/>
          <w:numId w:val="1005"/>
        </w:numPr>
      </w:pPr>
      <w:r>
        <w:t xml:space="preserve">What is the cadence of gross-margin pressure in 2Q versus the second half?</w:t>
      </w:r>
    </w:p>
    <w:p>
      <w:pPr>
        <w:pStyle w:val="Compact"/>
        <w:numPr>
          <w:ilvl w:val="0"/>
          <w:numId w:val="1005"/>
        </w:numPr>
      </w:pPr>
      <w:r>
        <w:t xml:space="preserve">How much of the pressure can be offset through productivity, mix, premium innovation, pricing, and the Strategic Growth and Productivity Program?</w:t>
      </w:r>
    </w:p>
    <w:p>
      <w:pPr>
        <w:pStyle w:val="FirstParagraph"/>
      </w:pPr>
      <w:r>
        <w:rPr>
          <w:b/>
          <w:bCs/>
        </w:rPr>
        <w:t xml:space="preserve">Base case:</w:t>
      </w:r>
      <w:r>
        <w:t xml:space="preserve"> </w:t>
      </w:r>
      <w:r>
        <w:t xml:space="preserve">Colgate maintains the full-year framework but leaves gross-margin pressure intact.</w:t>
      </w:r>
      <w:r>
        <w:br/>
      </w:r>
      <w:r>
        <w:rPr>
          <w:b/>
          <w:bCs/>
        </w:rPr>
        <w:t xml:space="preserve">Bull case:</w:t>
      </w:r>
      <w:r>
        <w:t xml:space="preserve"> </w:t>
      </w:r>
      <w:r>
        <w:t xml:space="preserve">stable or better commodity/tariff outlook supports an improving second-half margin trajectory.</w:t>
      </w:r>
      <w:r>
        <w:br/>
      </w:r>
      <w:r>
        <w:rPr>
          <w:b/>
          <w:bCs/>
        </w:rPr>
        <w:t xml:space="preserve">Bear case:</w:t>
      </w:r>
      <w:r>
        <w:t xml:space="preserve"> </w:t>
      </w:r>
      <w:r>
        <w:t xml:space="preserve">a further gross-margin reset puts adjusted-EPS guidance under scrutiny, even if sales remain solid.</w:t>
      </w:r>
    </w:p>
    <w:bookmarkEnd w:id="19"/>
    <w:bookmarkStart w:id="20" w:name="X5c8957ddaf6af4ce132ef5ca8c71627347f7909"/>
    <w:p>
      <w:pPr>
        <w:pStyle w:val="Heading2"/>
      </w:pPr>
      <w:r>
        <w:t xml:space="preserve">5. Productivity is a medium-term support—but not necessarily near-term EPS upside</w:t>
      </w:r>
    </w:p>
    <w:p>
      <w:pPr>
        <w:pStyle w:val="FirstParagraph"/>
      </w:pPr>
      <w:r>
        <w:t xml:space="preserve">Colgate expanded its Strategic Growth and Productivity Program in 1Q. The company now expects cumulative pretax charges of</w:t>
      </w:r>
      <w:r>
        <w:t xml:space="preserve"> </w:t>
      </w:r>
      <m:oMath>
        <m:r>
          <m:t>350</m:t>
        </m:r>
        <m:r>
          <m:t>m</m:t>
        </m:r>
        <m:r>
          <m:t>i</m:t>
        </m:r>
        <m:r>
          <m:t>l</m:t>
        </m:r>
        <m:r>
          <m:t>l</m:t>
        </m:r>
        <m:r>
          <m:t>i</m:t>
        </m:r>
        <m:r>
          <m:t>o</m:t>
        </m:r>
        <m:r>
          <m:t>n</m:t>
        </m:r>
        <m:r>
          <m:rPr>
            <m:sty m:val="p"/>
          </m:rPr>
          <m:t>–</m:t>
        </m:r>
      </m:oMath>
      <w:r>
        <w:rPr>
          <w:b/>
          <w:bCs/>
        </w:rPr>
        <w:t xml:space="preserve">550 million</w:t>
      </w:r>
      <w:r>
        <w:t xml:space="preserve">, up from</w:t>
      </w:r>
      <w:r>
        <w:t xml:space="preserve"> </w:t>
      </w:r>
      <m:oMath>
        <m:r>
          <m:t>200</m:t>
        </m:r>
        <m:r>
          <m:t>m</m:t>
        </m:r>
        <m:r>
          <m:t>i</m:t>
        </m:r>
        <m:r>
          <m:t>l</m:t>
        </m:r>
        <m:r>
          <m:t>l</m:t>
        </m:r>
        <m:r>
          <m:t>i</m:t>
        </m:r>
        <m:r>
          <m:t>o</m:t>
        </m:r>
        <m:r>
          <m:t>n</m:t>
        </m:r>
        <m:r>
          <m:rPr>
            <m:sty m:val="p"/>
          </m:rPr>
          <m:t>–</m:t>
        </m:r>
      </m:oMath>
      <w:r>
        <w:t xml:space="preserve">300 million, and annualized savings of</w:t>
      </w:r>
      <w:r>
        <w:t xml:space="preserve"> </w:t>
      </w:r>
      <m:oMath>
        <m:r>
          <m:t>200</m:t>
        </m:r>
        <m:r>
          <m:t>m</m:t>
        </m:r>
        <m:r>
          <m:t>i</m:t>
        </m:r>
        <m:r>
          <m:t>l</m:t>
        </m:r>
        <m:r>
          <m:t>l</m:t>
        </m:r>
        <m:r>
          <m:t>i</m:t>
        </m:r>
        <m:r>
          <m:t>o</m:t>
        </m:r>
        <m:r>
          <m:t>n</m:t>
        </m:r>
        <m:r>
          <m:rPr>
            <m:sty m:val="p"/>
          </m:rPr>
          <m:t>–</m:t>
        </m:r>
      </m:oMath>
      <w:r>
        <w:rPr>
          <w:b/>
          <w:bCs/>
        </w:rPr>
        <w:t xml:space="preserve">300 million</w:t>
      </w:r>
      <w:r>
        <w:t xml:space="preserve"> </w:t>
      </w:r>
      <w:r>
        <w:t xml:space="preserve">once projects are implemented. The majority of savings are expected in 2027 and 2028; the program remains scheduled for completion by the end of 2028. (</w:t>
      </w:r>
      <w:hyperlink r:id="rId11">
        <w:r>
          <w:rPr>
            <w:rStyle w:val="Hyperlink"/>
          </w:rPr>
          <w:t xml:space="preserve">colgatepalmolivecompany.gcs-web.com</w:t>
        </w:r>
      </w:hyperlink>
      <w:r>
        <w:t xml:space="preserve">)</w:t>
      </w:r>
    </w:p>
    <w:p>
      <w:pPr>
        <w:pStyle w:val="BodyText"/>
      </w:pPr>
      <w:r>
        <w:t xml:space="preserve">This is strategically favorable: it creates capacity to invest in growth capabilities while supporting longer-term earnings. For 2Q, however, investors should avoid treating the program as an immediate margin solution. The nearer-term earnings bridge remains pricing/mix, conventional productivity, and disciplined overhead management.</w:t>
      </w:r>
    </w:p>
    <w:p>
      <w:r>
        <w:pict>
          <v:rect style="width:0;height:1.5pt" o:hralign="center" o:hrstd="t" o:hr="t"/>
        </w:pict>
      </w:r>
    </w:p>
    <w:bookmarkEnd w:id="20"/>
    <w:bookmarkStart w:id="23" w:name="what-to-watch-in-the-release"/>
    <w:p>
      <w:pPr>
        <w:pStyle w:val="Heading2"/>
      </w:pPr>
      <w:r>
        <w:t xml:space="preserve">What to watch in the release</w:t>
      </w:r>
    </w:p>
    <w:bookmarkStart w:id="21" w:name="numbers-that-matter-most"/>
    <w:p>
      <w:pPr>
        <w:pStyle w:val="Heading3"/>
      </w:pPr>
      <w:r>
        <w:t xml:space="preserve">Numbers that matter most</w:t>
      </w:r>
    </w:p>
    <w:p>
      <w:pPr>
        <w:pStyle w:val="Compact"/>
        <w:numPr>
          <w:ilvl w:val="0"/>
          <w:numId w:val="1006"/>
        </w:numPr>
      </w:pPr>
      <w:r>
        <w:rPr>
          <w:b/>
          <w:bCs/>
        </w:rPr>
        <w:t xml:space="preserve">Organic sales growth:</w:t>
      </w:r>
      <w:r>
        <w:t xml:space="preserve"> </w:t>
      </w:r>
      <w:r>
        <w:t xml:space="preserve">Is CL at least tracking near the midpoint of the 1%–4% guide?</w:t>
      </w:r>
    </w:p>
    <w:p>
      <w:pPr>
        <w:pStyle w:val="Compact"/>
        <w:numPr>
          <w:ilvl w:val="0"/>
          <w:numId w:val="1006"/>
        </w:numPr>
      </w:pPr>
      <w:r>
        <w:rPr>
          <w:b/>
          <w:bCs/>
        </w:rPr>
        <w:t xml:space="preserve">Volume:</w:t>
      </w:r>
      <w:r>
        <w:t xml:space="preserve"> </w:t>
      </w:r>
      <w:r>
        <w:t xml:space="preserve">Is total-company volume positive, and is the emerging-market contribution holding?</w:t>
      </w:r>
    </w:p>
    <w:p>
      <w:pPr>
        <w:pStyle w:val="Compact"/>
        <w:numPr>
          <w:ilvl w:val="0"/>
          <w:numId w:val="1006"/>
        </w:numPr>
      </w:pPr>
      <w:r>
        <w:rPr>
          <w:b/>
          <w:bCs/>
        </w:rPr>
        <w:t xml:space="preserve">North America organic sales/volume:</w:t>
      </w:r>
      <w:r>
        <w:t xml:space="preserve"> </w:t>
      </w:r>
      <w:r>
        <w:t xml:space="preserve">Is there tangible sequential progress?</w:t>
      </w:r>
    </w:p>
    <w:p>
      <w:pPr>
        <w:pStyle w:val="Compact"/>
        <w:numPr>
          <w:ilvl w:val="0"/>
          <w:numId w:val="1006"/>
        </w:numPr>
      </w:pPr>
      <w:r>
        <w:rPr>
          <w:b/>
          <w:bCs/>
        </w:rPr>
        <w:t xml:space="preserve">Hill’s core organic growth:</w:t>
      </w:r>
      <w:r>
        <w:t xml:space="preserve"> </w:t>
      </w:r>
      <w:r>
        <w:t xml:space="preserve">Does reported growth improve as private-label comparisons ease?</w:t>
      </w:r>
    </w:p>
    <w:p>
      <w:pPr>
        <w:pStyle w:val="Compact"/>
        <w:numPr>
          <w:ilvl w:val="0"/>
          <w:numId w:val="1006"/>
        </w:numPr>
      </w:pPr>
      <w:r>
        <w:rPr>
          <w:b/>
          <w:bCs/>
        </w:rPr>
        <w:t xml:space="preserve">Gross and operating-margin performance:</w:t>
      </w:r>
      <w:r>
        <w:t xml:space="preserve"> </w:t>
      </w:r>
      <w:r>
        <w:t xml:space="preserve">Is margin pressure consistent with the revised guide—or worse?</w:t>
      </w:r>
    </w:p>
    <w:p>
      <w:pPr>
        <w:pStyle w:val="Compact"/>
        <w:numPr>
          <w:ilvl w:val="0"/>
          <w:numId w:val="1006"/>
        </w:numPr>
      </w:pPr>
      <w:r>
        <w:rPr>
          <w:b/>
          <w:bCs/>
        </w:rPr>
        <w:t xml:space="preserve">Advertising spend:</w:t>
      </w:r>
      <w:r>
        <w:t xml:space="preserve"> </w:t>
      </w:r>
      <w:r>
        <w:t xml:space="preserve">Does CL continue to invest despite cost pressure?</w:t>
      </w:r>
    </w:p>
    <w:p>
      <w:pPr>
        <w:pStyle w:val="Compact"/>
        <w:numPr>
          <w:ilvl w:val="0"/>
          <w:numId w:val="1006"/>
        </w:numPr>
      </w:pPr>
      <w:r>
        <w:rPr>
          <w:b/>
          <w:bCs/>
        </w:rPr>
        <w:t xml:space="preserve">Base-business EPS and full-year guide:</w:t>
      </w:r>
      <w:r>
        <w:t xml:space="preserve"> </w:t>
      </w:r>
      <w:r>
        <w:t xml:space="preserve">A maintained low- to mid-single-digit EPS-growth outlook is the minimum expectation.</w:t>
      </w:r>
    </w:p>
    <w:bookmarkEnd w:id="21"/>
    <w:bookmarkStart w:id="22" w:name="questions-for-management"/>
    <w:p>
      <w:pPr>
        <w:pStyle w:val="Heading3"/>
      </w:pPr>
      <w:r>
        <w:t xml:space="preserve">Questions for management</w:t>
      </w:r>
    </w:p>
    <w:p>
      <w:pPr>
        <w:pStyle w:val="Compact"/>
        <w:numPr>
          <w:ilvl w:val="0"/>
          <w:numId w:val="1007"/>
        </w:numPr>
      </w:pPr>
      <w:r>
        <w:t xml:space="preserve">How did North American oral-care, personal-care, and home-care trends exit June?</w:t>
      </w:r>
    </w:p>
    <w:p>
      <w:pPr>
        <w:pStyle w:val="Compact"/>
        <w:numPr>
          <w:ilvl w:val="0"/>
          <w:numId w:val="1007"/>
        </w:numPr>
      </w:pPr>
      <w:r>
        <w:t xml:space="preserve">Did shelf resets and delayed innovation meaningfully contribute to 2Q growth?</w:t>
      </w:r>
    </w:p>
    <w:p>
      <w:pPr>
        <w:pStyle w:val="Compact"/>
        <w:numPr>
          <w:ilvl w:val="0"/>
          <w:numId w:val="1007"/>
        </w:numPr>
      </w:pPr>
      <w:r>
        <w:t xml:space="preserve">Which regions are absorbing the most new pricing, and is elasticity changing?</w:t>
      </w:r>
    </w:p>
    <w:p>
      <w:pPr>
        <w:pStyle w:val="Compact"/>
        <w:numPr>
          <w:ilvl w:val="0"/>
          <w:numId w:val="1007"/>
        </w:numPr>
      </w:pPr>
      <w:r>
        <w:t xml:space="preserve">Does management still expect pricing to be increasingly innovation-led in the second half?</w:t>
      </w:r>
    </w:p>
    <w:p>
      <w:pPr>
        <w:pStyle w:val="Compact"/>
        <w:numPr>
          <w:ilvl w:val="0"/>
          <w:numId w:val="1007"/>
        </w:numPr>
      </w:pPr>
      <w:r>
        <w:t xml:space="preserve">How much of the year-to-date tariff and logistics pressure has been mitigated?</w:t>
      </w:r>
    </w:p>
    <w:p>
      <w:pPr>
        <w:pStyle w:val="Compact"/>
        <w:numPr>
          <w:ilvl w:val="0"/>
          <w:numId w:val="1007"/>
        </w:numPr>
      </w:pPr>
      <w:r>
        <w:t xml:space="preserve">What is the underlying Hill’s growth rate excluding private label, and are dry-dog trends stabilizing?</w:t>
      </w:r>
    </w:p>
    <w:p>
      <w:pPr>
        <w:pStyle w:val="Compact"/>
        <w:numPr>
          <w:ilvl w:val="0"/>
          <w:numId w:val="1007"/>
        </w:numPr>
      </w:pPr>
      <w:r>
        <w:t xml:space="preserve">Has the full-year commodity-cost assumption changed from the May framework?</w:t>
      </w:r>
    </w:p>
    <w:p>
      <w:pPr>
        <w:pStyle w:val="Compact"/>
        <w:numPr>
          <w:ilvl w:val="0"/>
          <w:numId w:val="1007"/>
        </w:numPr>
      </w:pPr>
      <w:r>
        <w:t xml:space="preserve">How should investors think about 2H gross-margin and EPS cadence?</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t xml:space="preserve">CL is set up as a</w:t>
      </w:r>
      <w:r>
        <w:t xml:space="preserve"> </w:t>
      </w:r>
      <w:r>
        <w:rPr>
          <w:b/>
          <w:bCs/>
        </w:rPr>
        <w:t xml:space="preserve">resilient but execution-sensitive</w:t>
      </w:r>
      <w:r>
        <w:t xml:space="preserve"> </w:t>
      </w:r>
      <w:r>
        <w:t xml:space="preserve">consumer-staples earnings report. The company’s emerging-market strength, global oral-care leadership, and differentiated Hill’s franchise provide a credible route to organic growth within guidance. Its first-quarter performance also showed management’s willingness to protect advertising and innovation investment rather than defend margins by cutting growth spending.</w:t>
      </w:r>
    </w:p>
    <w:p>
      <w:pPr>
        <w:pStyle w:val="BodyText"/>
      </w:pPr>
      <w:r>
        <w:t xml:space="preserve">But the stock’s next move will likely hinge on whether Colgate can demonstrate that North America is recovering and that its May margin reset was sufficiently conservative. A clean report would combine organic growth around the middle-to-upper end of guidance, further volume resilience, improving North America trends, Hill’s acceleration as private-label effects fade, and unchanged EPS guidance. The principal downside risk is not a small quarterly EPS miss; it is another deterioration in the gross-margin or cost outlook that casts doubt on the full-year earnings algorithm.</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colgatepalmolivecompany.gcs-web.com/news-releases/news-release-details/colgate-announces-1st-quarter-2026-results?utm_source=openai" TargetMode="External" /><Relationship Type="http://schemas.openxmlformats.org/officeDocument/2006/relationships/hyperlink" Id="rId15" Target="https://investor.colgatepalmolive.com/static-files/15a28b9c-c41a-4766-a8f5-bdfb07cd3bd1?utm_source=openai" TargetMode="External" /><Relationship Type="http://schemas.openxmlformats.org/officeDocument/2006/relationships/hyperlink" Id="rId9" Target="https://www.tipranks.com/stocks/cl/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colgatepalmolivecompany.gcs-web.com/news-releases/news-release-details/colgate-announces-1st-quarter-2026-results?utm_source=openai" TargetMode="External" /><Relationship Type="http://schemas.openxmlformats.org/officeDocument/2006/relationships/hyperlink" Id="rId15" Target="https://investor.colgatepalmolive.com/static-files/15a28b9c-c41a-4766-a8f5-bdfb07cd3bd1?utm_source=openai" TargetMode="External" /><Relationship Type="http://schemas.openxmlformats.org/officeDocument/2006/relationships/hyperlink" Id="rId9" Target="https://www.tipranks.com/stocks/cl/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2026-07-31T00:07:56Z</dcterms:created>
  <dcterms:modified xsi:type="dcterms:W3CDTF">2026-07-31T00:07:56Z</dcterms:modified>
</cp:coreProperties>
</file>

<file path=docProps/custom.xml><?xml version="1.0" encoding="utf-8"?>
<Properties xmlns="http://schemas.openxmlformats.org/officeDocument/2006/custom-properties" xmlns:vt="http://schemas.openxmlformats.org/officeDocument/2006/docPropsVTypes"/>
</file>