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Colgate-Palmolive (CL)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Colgate-Palmolive Company</w:t>
            </w:r>
          </w:p>
        </w:tc>
      </w:tr>
      <w:tr>
        <w:tc>
          <w:tcPr>
            <w:tcW w:type="dxa" w:w="4320"/>
          </w:tcPr>
          <w:p>
            <w:r>
              <w:rPr>
                <w:rFonts w:ascii="Calibri" w:hAnsi="Calibri"/>
                <w:b/>
                <w:sz w:val="22"/>
              </w:rPr>
              <w:t>Ticker</w:t>
            </w:r>
          </w:p>
        </w:tc>
        <w:tc>
          <w:tcPr>
            <w:tcW w:type="dxa" w:w="4320"/>
          </w:tcPr>
          <w:p>
            <w:r>
              <w:rPr>
                <w:rFonts w:ascii="Calibri" w:hAnsi="Calibri"/>
                <w:sz w:val="22"/>
              </w:rPr>
              <w:t>CL (NYSE)</w:t>
            </w:r>
          </w:p>
        </w:tc>
      </w:tr>
      <w:tr>
        <w:tc>
          <w:tcPr>
            <w:tcW w:type="dxa" w:w="4320"/>
          </w:tcPr>
          <w:p>
            <w:r>
              <w:rPr>
                <w:rFonts w:ascii="Calibri" w:hAnsi="Calibri"/>
                <w:b/>
                <w:sz w:val="22"/>
              </w:rPr>
              <w:t>Upcoming Earnings Date</w:t>
            </w:r>
          </w:p>
        </w:tc>
        <w:tc>
          <w:tcPr>
            <w:tcW w:type="dxa" w:w="4320"/>
          </w:tcPr>
          <w:p>
            <w:r>
              <w:rPr>
                <w:rFonts w:ascii="Calibri" w:hAnsi="Calibri"/>
                <w:sz w:val="22"/>
              </w:rPr>
              <w:t>July 31, 2026 — Q2 2026 Earnings Call (8:30 AM ET)</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Preparation Date</w:t>
            </w:r>
          </w:p>
        </w:tc>
        <w:tc>
          <w:tcPr>
            <w:tcW w:type="dxa" w:w="4320"/>
          </w:tcPr>
          <w:p>
            <w:r>
              <w:rPr>
                <w:rFonts w:ascii="Calibri" w:hAnsi="Calibri"/>
                <w:sz w:val="22"/>
              </w:rPr>
              <w:t>July 30, 2026</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into Q2 is mixed-to-cautious — consensus is a manageable bar on EPS but the gross margin trajectory is the single biggest swing factor, with tariff-driven North America pressure and a post-Q1 guidance downgrade already baked in.</w:t>
      </w:r>
    </w:p>
    <w:p>
      <w:r>
        <w:rPr>
          <w:rFonts w:ascii="Calibri" w:hAnsi="Calibri"/>
          <w:color w:val="525866"/>
          <w:sz w:val="22"/>
        </w:rPr>
        <w:t xml:space="preserve">Heading into Q2 2026, Colgate faces a consensus bar that is not demanding on EPS — the Street is modeling </w:t>
      </w:r>
      <w:r>
        <w:rPr>
          <w:rFonts w:ascii="Calibri" w:hAnsi="Calibri"/>
          <w:b/>
          <w:color w:val="525866"/>
          <w:sz w:val="22"/>
        </w:rPr>
        <w:t>$0.948 in adjusted diluted EPS</w:t>
      </w:r>
      <w:r>
        <w:rPr>
          <w:rFonts w:ascii="Calibri" w:hAnsi="Calibri"/>
          <w:color w:val="525866"/>
          <w:sz w:val="22"/>
        </w:rPr>
        <w:t xml:space="preserve"> versus $0.97 reported in Q1 — but the gross margin line is where the real debate sits. Management revised full-year gross margin guidance to </w:t>
      </w:r>
      <w:r>
        <w:rPr>
          <w:rFonts w:ascii="Calibri" w:hAnsi="Calibri"/>
          <w:b/>
          <w:color w:val="525866"/>
          <w:sz w:val="22"/>
        </w:rPr>
        <w:t>down year-over-year</w:t>
      </w:r>
      <w:r>
        <w:rPr>
          <w:rFonts w:ascii="Calibri" w:hAnsi="Calibri"/>
          <w:color w:val="525866"/>
          <w:sz w:val="22"/>
        </w:rPr>
        <w:t xml:space="preserve"> (from previously expected up) on the Q1 call, citing an incremental ~$300 million headwind from raw materials and logistics, with oil assumed at ~$110/barrel for the remainder of the year; that reset has already been absorbed by estimates, but any further deterioration in commodity costs or tariff escalation would be a negative surprise. Organic sales growth consensus sits at </w:t>
      </w:r>
      <w:r>
        <w:rPr>
          <w:rFonts w:ascii="Calibri" w:hAnsi="Calibri"/>
          <w:b/>
          <w:color w:val="525866"/>
          <w:sz w:val="22"/>
        </w:rPr>
        <w:t>~2.4%</w:t>
      </w:r>
      <w:r>
        <w:rPr>
          <w:rFonts w:ascii="Calibri" w:hAnsi="Calibri"/>
          <w:color w:val="525866"/>
          <w:sz w:val="22"/>
        </w:rPr>
        <w:t xml:space="preserve"> for Q2, a step-up from Q1’s 2.9% actual, with the private label pet food exit expected to create a 20–30 bps drag on total company growth that should largely resolve by H2. The stock has </w:t>
      </w:r>
      <w:r>
        <w:rPr>
          <w:rFonts w:ascii="Calibri" w:hAnsi="Calibri"/>
          <w:b/>
          <w:color w:val="525866"/>
          <w:sz w:val="22"/>
        </w:rPr>
        <w:t>outperformed XLP by roughly 5 percentage points since the May 1 earnings date</w:t>
      </w:r>
      <w:r>
        <w:rPr>
          <w:rFonts w:ascii="Calibri" w:hAnsi="Calibri"/>
          <w:color w:val="525866"/>
          <w:sz w:val="22"/>
        </w:rPr>
        <w:t xml:space="preserve">, trading up from $87.26 to ~$91.60 as of July 31, suggesting the market has partially priced in execution stability, leaving limited room for a multiple-driven re-rating on the print. The key wildcard is </w:t>
      </w:r>
      <w:r>
        <w:rPr>
          <w:rFonts w:ascii="Calibri" w:hAnsi="Calibri"/>
          <w:b/>
          <w:color w:val="525866"/>
          <w:sz w:val="22"/>
        </w:rPr>
        <w:t>North America demand</w:t>
      </w:r>
      <w:r>
        <w:rPr>
          <w:rFonts w:ascii="Calibri" w:hAnsi="Calibri"/>
          <w:color w:val="525866"/>
          <w:sz w:val="22"/>
        </w:rPr>
        <w:t>: management flagged a marked category deceleration beginning early May 2026 at the Deutsche Bank conference, and whether that softness deepened or stabilized through June will be the most market-moving data point on the call.</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low-to-moderate bar on EPS and organic sales, but </w:t>
      </w:r>
      <w:r>
        <w:rPr>
          <w:rFonts w:ascii="Calibri" w:hAnsi="Calibri"/>
          <w:b/>
          <w:color w:val="525866"/>
          <w:sz w:val="22"/>
        </w:rPr>
        <w:t>gross margin is the bigger swing factor</w:t>
      </w:r>
      <w:r>
        <w:rPr>
          <w:rFonts w:ascii="Calibri" w:hAnsi="Calibri"/>
          <w:color w:val="525866"/>
          <w:sz w:val="22"/>
        </w:rPr>
        <w:t xml:space="preserve"> — any sequential improvement beyond the post-guidance-cut baseline would be a positive catalyst, while further deterioration would pressure the stock.</w:t>
      </w:r>
    </w:p>
    <w:p>
      <w:pPr>
        <w:pStyle w:val="Heading2"/>
      </w:pPr>
      <w:r>
        <w:rPr>
          <w:rFonts w:ascii="Calibri" w:hAnsi="Calibri"/>
          <w:b/>
          <w:color w:val="3B4259"/>
          <w:sz w:val="28"/>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(Est.)</w:t>
            </w:r>
          </w:p>
        </w:tc>
        <w:tc>
          <w:tcPr>
            <w:tcW w:type="dxa" w:w="1234"/>
            <w:shd w:val="clear" w:color="auto" w:fill="3B4259"/>
          </w:tcPr>
          <w:p>
            <w:r>
              <w:rPr>
                <w:rFonts w:ascii="Calibri" w:hAnsi="Calibri"/>
                <w:b/>
                <w:color w:val="FFFFFF"/>
                <w:sz w:val="22"/>
              </w:rPr>
              <w:t>FY2026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Net Sales ($B)</w:t>
            </w:r>
          </w:p>
        </w:tc>
        <w:tc>
          <w:tcPr>
            <w:tcW w:type="dxa" w:w="1234"/>
          </w:tcPr>
          <w:p>
            <w:r>
              <w:rPr>
                <w:rFonts w:ascii="Calibri" w:hAnsi="Calibri"/>
                <w:sz w:val="22"/>
              </w:rPr>
              <w:t>$5.324B</w:t>
            </w:r>
          </w:p>
        </w:tc>
        <w:tc>
          <w:tcPr>
            <w:tcW w:type="dxa" w:w="1234"/>
          </w:tcPr>
          <w:p>
            <w:r>
              <w:rPr>
                <w:rFonts w:ascii="Calibri" w:hAnsi="Calibri"/>
                <w:sz w:val="22"/>
              </w:rPr>
              <w:t>$5.112B</w:t>
            </w:r>
          </w:p>
        </w:tc>
        <w:tc>
          <w:tcPr>
            <w:tcW w:type="dxa" w:w="1234"/>
          </w:tcPr>
          <w:p>
            <w:r>
              <w:rPr>
                <w:rFonts w:ascii="Calibri" w:hAnsi="Calibri"/>
                <w:sz w:val="22"/>
              </w:rPr>
              <w:t>$5.348B</w:t>
            </w:r>
          </w:p>
        </w:tc>
        <w:tc>
          <w:tcPr>
            <w:tcW w:type="dxa" w:w="1234"/>
          </w:tcPr>
          <w:p>
            <w:r>
              <w:rPr>
                <w:rFonts w:ascii="Calibri" w:hAnsi="Calibri"/>
                <w:sz w:val="22"/>
              </w:rPr>
              <w:t>+4.6%</w:t>
            </w:r>
          </w:p>
        </w:tc>
        <w:tc>
          <w:tcPr>
            <w:tcW w:type="dxa" w:w="1234"/>
          </w:tcPr>
          <w:p>
            <w:r>
              <w:rPr>
                <w:rFonts w:ascii="Calibri" w:hAnsi="Calibri"/>
                <w:sz w:val="22"/>
              </w:rPr>
              <w:t>Organic growth 1–4%</w:t>
            </w:r>
          </w:p>
        </w:tc>
        <w:tc>
          <w:tcPr>
            <w:tcW w:type="dxa" w:w="1234"/>
          </w:tcPr>
          <w:p>
            <w:r>
              <w:rPr>
                <w:rFonts w:ascii="Calibri" w:hAnsi="Calibri"/>
                <w:sz w:val="22"/>
              </w:rPr>
              <w:t>N/A (total sales not guided)</w:t>
            </w:r>
          </w:p>
        </w:tc>
      </w:tr>
      <w:tr>
        <w:tc>
          <w:tcPr>
            <w:tcW w:type="dxa" w:w="1234"/>
          </w:tcPr>
          <w:p>
            <w:r>
              <w:rPr>
                <w:rFonts w:ascii="Calibri" w:hAnsi="Calibri"/>
                <w:sz w:val="22"/>
              </w:rPr>
              <w:t>Organic Sales Growth (%)</w:t>
            </w:r>
          </w:p>
        </w:tc>
        <w:tc>
          <w:tcPr>
            <w:tcW w:type="dxa" w:w="1234"/>
          </w:tcPr>
          <w:p>
            <w:r>
              <w:rPr>
                <w:rFonts w:ascii="Calibri" w:hAnsi="Calibri"/>
                <w:sz w:val="22"/>
              </w:rPr>
              <w:t>2.9%</w:t>
            </w:r>
          </w:p>
        </w:tc>
        <w:tc>
          <w:tcPr>
            <w:tcW w:type="dxa" w:w="1234"/>
          </w:tcPr>
          <w:p>
            <w:r>
              <w:rPr>
                <w:rFonts w:ascii="Calibri" w:hAnsi="Calibri"/>
                <w:sz w:val="22"/>
              </w:rPr>
              <w:t>1.8%</w:t>
            </w:r>
          </w:p>
        </w:tc>
        <w:tc>
          <w:tcPr>
            <w:tcW w:type="dxa" w:w="1234"/>
          </w:tcPr>
          <w:p>
            <w:r>
              <w:rPr>
                <w:rFonts w:ascii="Calibri" w:hAnsi="Calibri"/>
                <w:sz w:val="22"/>
              </w:rPr>
              <w:t>~2.4%</w:t>
            </w:r>
          </w:p>
        </w:tc>
        <w:tc>
          <w:tcPr>
            <w:tcW w:type="dxa" w:w="1234"/>
          </w:tcPr>
          <w:p>
            <w:r>
              <w:rPr>
                <w:rFonts w:ascii="Calibri" w:hAnsi="Calibri"/>
                <w:sz w:val="22"/>
              </w:rPr>
              <w:t>+60 bps YoY</w:t>
            </w:r>
          </w:p>
        </w:tc>
        <w:tc>
          <w:tcPr>
            <w:tcW w:type="dxa" w:w="1234"/>
          </w:tcPr>
          <w:p>
            <w:r>
              <w:rPr>
                <w:rFonts w:ascii="Calibri" w:hAnsi="Calibri"/>
                <w:sz w:val="22"/>
              </w:rPr>
              <w:t>1–4% (midpoint 2.5%)</w:t>
            </w:r>
          </w:p>
        </w:tc>
        <w:tc>
          <w:tcPr>
            <w:tcW w:type="dxa" w:w="1234"/>
          </w:tcPr>
          <w:p>
            <w:r>
              <w:rPr>
                <w:rFonts w:ascii="Calibri" w:hAnsi="Calibri"/>
                <w:sz w:val="22"/>
              </w:rPr>
              <w:t>~−10 bps below midpoint</w:t>
            </w:r>
          </w:p>
        </w:tc>
      </w:tr>
      <w:tr>
        <w:tc>
          <w:tcPr>
            <w:tcW w:type="dxa" w:w="1234"/>
          </w:tcPr>
          <w:p>
            <w:r>
              <w:rPr>
                <w:rFonts w:ascii="Calibri" w:hAnsi="Calibri"/>
                <w:sz w:val="22"/>
              </w:rPr>
              <w:t>Adj. Diluted EPS ($)</w:t>
            </w:r>
          </w:p>
        </w:tc>
        <w:tc>
          <w:tcPr>
            <w:tcW w:type="dxa" w:w="1234"/>
          </w:tcPr>
          <w:p>
            <w:r>
              <w:rPr>
                <w:rFonts w:ascii="Calibri" w:hAnsi="Calibri"/>
                <w:sz w:val="22"/>
              </w:rPr>
              <w:t>$0.97</w:t>
            </w:r>
          </w:p>
        </w:tc>
        <w:tc>
          <w:tcPr>
            <w:tcW w:type="dxa" w:w="1234"/>
          </w:tcPr>
          <w:p>
            <w:r>
              <w:rPr>
                <w:rFonts w:ascii="Calibri" w:hAnsi="Calibri"/>
                <w:sz w:val="22"/>
              </w:rPr>
              <w:t>$0.92</w:t>
            </w:r>
          </w:p>
        </w:tc>
        <w:tc>
          <w:tcPr>
            <w:tcW w:type="dxa" w:w="1234"/>
          </w:tcPr>
          <w:p>
            <w:r>
              <w:rPr>
                <w:rFonts w:ascii="Calibri" w:hAnsi="Calibri"/>
                <w:sz w:val="22"/>
              </w:rPr>
              <w:t>$0.948</w:t>
            </w:r>
          </w:p>
        </w:tc>
        <w:tc>
          <w:tcPr>
            <w:tcW w:type="dxa" w:w="1234"/>
          </w:tcPr>
          <w:p>
            <w:r>
              <w:rPr>
                <w:rFonts w:ascii="Calibri" w:hAnsi="Calibri"/>
                <w:sz w:val="22"/>
              </w:rPr>
              <w:t>+3.0% YoY</w:t>
            </w:r>
          </w:p>
        </w:tc>
        <w:tc>
          <w:tcPr>
            <w:tcW w:type="dxa" w:w="1234"/>
          </w:tcPr>
          <w:p>
            <w:r>
              <w:rPr>
                <w:rFonts w:ascii="Calibri" w:hAnsi="Calibri"/>
                <w:sz w:val="22"/>
              </w:rPr>
              <w:t>Low-to-mid single digit growth</w:t>
            </w:r>
          </w:p>
        </w:tc>
        <w:tc>
          <w:tcPr>
            <w:tcW w:type="dxa" w:w="1234"/>
          </w:tcPr>
          <w:p>
            <w:r>
              <w:rPr>
                <w:rFonts w:ascii="Calibri" w:hAnsi="Calibri"/>
                <w:sz w:val="22"/>
              </w:rPr>
              <w:t>Within guided range</w:t>
            </w:r>
          </w:p>
        </w:tc>
      </w:tr>
      <w:tr>
        <w:tc>
          <w:tcPr>
            <w:tcW w:type="dxa" w:w="1234"/>
          </w:tcPr>
          <w:p>
            <w:r>
              <w:rPr>
                <w:rFonts w:ascii="Calibri" w:hAnsi="Calibri"/>
                <w:sz w:val="22"/>
              </w:rPr>
              <w:t>Gross Profit — Operating ($B)</w:t>
            </w:r>
          </w:p>
        </w:tc>
        <w:tc>
          <w:tcPr>
            <w:tcW w:type="dxa" w:w="1234"/>
          </w:tcPr>
          <w:p>
            <w:r>
              <w:rPr>
                <w:rFonts w:ascii="Calibri" w:hAnsi="Calibri"/>
                <w:sz w:val="22"/>
              </w:rPr>
              <w:t>$3.226B</w:t>
            </w:r>
          </w:p>
        </w:tc>
        <w:tc>
          <w:tcPr>
            <w:tcW w:type="dxa" w:w="1234"/>
          </w:tcPr>
          <w:p>
            <w:r>
              <w:rPr>
                <w:rFonts w:ascii="Calibri" w:hAnsi="Calibri"/>
                <w:sz w:val="22"/>
              </w:rPr>
              <w:t>$3.069B</w:t>
            </w:r>
          </w:p>
        </w:tc>
        <w:tc>
          <w:tcPr>
            <w:tcW w:type="dxa" w:w="1234"/>
          </w:tcPr>
          <w:p>
            <w:r>
              <w:rPr>
                <w:rFonts w:ascii="Calibri" w:hAnsi="Calibri"/>
                <w:sz w:val="22"/>
              </w:rPr>
              <w:t>$3.194B</w:t>
            </w:r>
          </w:p>
        </w:tc>
        <w:tc>
          <w:tcPr>
            <w:tcW w:type="dxa" w:w="1234"/>
          </w:tcPr>
          <w:p>
            <w:r>
              <w:rPr>
                <w:rFonts w:ascii="Calibri" w:hAnsi="Calibri"/>
                <w:sz w:val="22"/>
              </w:rPr>
              <w:t>+4.1% YoY</w:t>
            </w:r>
          </w:p>
        </w:tc>
        <w:tc>
          <w:tcPr>
            <w:tcW w:type="dxa" w:w="1234"/>
          </w:tcPr>
          <w:p>
            <w:r>
              <w:rPr>
                <w:rFonts w:ascii="Calibri" w:hAnsi="Calibri"/>
                <w:sz w:val="22"/>
              </w:rPr>
              <w:t>Down YoY (revised from up)</w:t>
            </w:r>
          </w:p>
        </w:tc>
        <w:tc>
          <w:tcPr>
            <w:tcW w:type="dxa" w:w="1234"/>
          </w:tcPr>
          <w:p>
            <w:r>
              <w:rPr>
                <w:rFonts w:ascii="Calibri" w:hAnsi="Calibri"/>
                <w:sz w:val="22"/>
              </w:rPr>
              <w:t>Tracking below prior guidance</w:t>
            </w:r>
          </w:p>
        </w:tc>
      </w:tr>
      <w:tr>
        <w:tc>
          <w:tcPr>
            <w:tcW w:type="dxa" w:w="1234"/>
          </w:tcPr>
          <w:p>
            <w:r>
              <w:rPr>
                <w:rFonts w:ascii="Calibri" w:hAnsi="Calibri"/>
                <w:sz w:val="22"/>
              </w:rPr>
              <w:t>Pet Nutrition Organic Growth (%)</w:t>
            </w:r>
          </w:p>
        </w:tc>
        <w:tc>
          <w:tcPr>
            <w:tcW w:type="dxa" w:w="1234"/>
          </w:tcPr>
          <w:p>
            <w:r>
              <w:rPr>
                <w:rFonts w:ascii="Calibri" w:hAnsi="Calibri"/>
                <w:sz w:val="22"/>
              </w:rPr>
              <w:t>2.1% (4.8% ex-pvt label)</w:t>
            </w:r>
          </w:p>
        </w:tc>
        <w:tc>
          <w:tcPr>
            <w:tcW w:type="dxa" w:w="1234"/>
          </w:tcPr>
          <w:p>
            <w:r>
              <w:rPr>
                <w:rFonts w:ascii="Calibri" w:hAnsi="Calibri"/>
                <w:sz w:val="22"/>
              </w:rPr>
              <w:t>2.0%</w:t>
            </w:r>
          </w:p>
        </w:tc>
        <w:tc>
          <w:tcPr>
            <w:tcW w:type="dxa" w:w="1234"/>
          </w:tcPr>
          <w:p>
            <w:r>
              <w:rPr>
                <w:rFonts w:ascii="Calibri" w:hAnsi="Calibri"/>
                <w:sz w:val="22"/>
              </w:rPr>
              <w:t>~2.2%</w:t>
            </w:r>
          </w:p>
        </w:tc>
        <w:tc>
          <w:tcPr>
            <w:tcW w:type="dxa" w:w="1234"/>
          </w:tcPr>
          <w:p>
            <w:r>
              <w:rPr>
                <w:rFonts w:ascii="Calibri" w:hAnsi="Calibri"/>
                <w:sz w:val="22"/>
              </w:rPr>
              <w:t>+20 bps YoY</w:t>
            </w:r>
          </w:p>
        </w:tc>
        <w:tc>
          <w:tcPr>
            <w:tcW w:type="dxa" w:w="1234"/>
          </w:tcPr>
          <w:p>
            <w:r>
              <w:rPr>
                <w:rFonts w:ascii="Calibri" w:hAnsi="Calibri"/>
                <w:sz w:val="22"/>
              </w:rPr>
              <w:t>Pvt label drag ~20–30 bps in Q2, resolves H2</w:t>
            </w:r>
          </w:p>
        </w:tc>
        <w:tc>
          <w:tcPr>
            <w:tcW w:type="dxa" w:w="1234"/>
          </w:tcPr>
          <w:p>
            <w:r>
              <w:rPr>
                <w:rFonts w:ascii="Calibri" w:hAnsi="Calibri"/>
                <w:sz w:val="22"/>
              </w:rPr>
              <w:t>Tracking guidance</w:t>
            </w:r>
          </w:p>
        </w:tc>
      </w:tr>
      <w:tr>
        <w:tc>
          <w:tcPr>
            <w:tcW w:type="dxa" w:w="1234"/>
          </w:tcPr>
          <w:p>
            <w:r>
              <w:rPr>
                <w:rFonts w:ascii="Calibri" w:hAnsi="Calibri"/>
                <w:sz w:val="22"/>
              </w:rPr>
              <w:t>N. America O,P&amp;H Organic Growth (%)</w:t>
            </w:r>
          </w:p>
        </w:tc>
        <w:tc>
          <w:tcPr>
            <w:tcW w:type="dxa" w:w="1234"/>
          </w:tcPr>
          <w:p>
            <w:r>
              <w:rPr>
                <w:rFonts w:ascii="Calibri" w:hAnsi="Calibri"/>
                <w:sz w:val="22"/>
              </w:rPr>
              <w:t>−2.2%</w:t>
            </w:r>
          </w:p>
        </w:tc>
        <w:tc>
          <w:tcPr>
            <w:tcW w:type="dxa" w:w="1234"/>
          </w:tcPr>
          <w:p>
            <w:r>
              <w:rPr>
                <w:rFonts w:ascii="Calibri" w:hAnsi="Calibri"/>
                <w:sz w:val="22"/>
              </w:rPr>
              <w:t>+0.2%</w:t>
            </w:r>
          </w:p>
        </w:tc>
        <w:tc>
          <w:tcPr>
            <w:tcW w:type="dxa" w:w="1234"/>
          </w:tcPr>
          <w:p>
            <w:r>
              <w:rPr>
                <w:rFonts w:ascii="Calibri" w:hAnsi="Calibri"/>
                <w:sz w:val="22"/>
              </w:rPr>
              <w:t>~−1.1%</w:t>
            </w:r>
          </w:p>
        </w:tc>
        <w:tc>
          <w:tcPr>
            <w:tcW w:type="dxa" w:w="1234"/>
          </w:tcPr>
          <w:p>
            <w:r>
              <w:rPr>
                <w:rFonts w:ascii="Calibri" w:hAnsi="Calibri"/>
                <w:sz w:val="22"/>
              </w:rPr>
              <w:t>Negative YoY swing</w:t>
            </w:r>
          </w:p>
        </w:tc>
        <w:tc>
          <w:tcPr>
            <w:tcW w:type="dxa" w:w="1234"/>
          </w:tcPr>
          <w:p>
            <w:r>
              <w:rPr>
                <w:rFonts w:ascii="Calibri" w:hAnsi="Calibri"/>
                <w:sz w:val="22"/>
              </w:rPr>
              <w:t>Sequential improvement expected</w:t>
            </w:r>
          </w:p>
        </w:tc>
        <w:tc>
          <w:tcPr>
            <w:tcW w:type="dxa" w:w="1234"/>
          </w:tcPr>
          <w:p>
            <w:r>
              <w:rPr>
                <w:rFonts w:ascii="Calibri" w:hAnsi="Calibri"/>
                <w:sz w:val="22"/>
              </w:rPr>
              <w:t>Still negative; improvement vs. Q1</w:t>
            </w:r>
          </w:p>
        </w:tc>
      </w:tr>
    </w:tbl>
    <w:p>
      <w:r>
        <w:rPr>
          <w:rFonts w:ascii="Calibri" w:hAnsi="Calibri"/>
          <w:i/>
          <w:color w:val="525866"/>
          <w:sz w:val="22"/>
        </w:rPr>
        <w:t>Sources: Visible Alpha Consensus and Actuals Data</w:t>
      </w:r>
      <w:r>
        <w:rPr>
          <w:rFonts w:ascii="Calibri" w:hAnsi="Calibri"/>
          <w:color w:val="525866"/>
          <w:sz w:val="22"/>
        </w:rPr>
        <w:t xml:space="preserve"> (Net Sales, Organic Sales Growth, EPS — Diluted — Operating, Gross Profit — Operating, Pet Nutrition Organic Growth, N. America O,P&amp;H Organic Growth). Guidance from CL Q1 2026 Earnings Call (May 1, 2026).</w:t>
      </w:r>
    </w:p>
    <w:p>
      <w:pPr>
        <w:pStyle w:val="Heading2"/>
      </w:pPr>
      <w:r>
        <w:rPr>
          <w:rFonts w:ascii="Calibri" w:hAnsi="Calibri"/>
          <w:b/>
          <w:color w:val="3B4259"/>
          <w:sz w:val="28"/>
        </w:rPr>
        <w:t>Table 2 — Beat/Miss History (Last 8 Quarters)</w:t>
      </w:r>
    </w:p>
    <w:p>
      <w:pPr>
        <w:pStyle w:val="Heading3"/>
      </w:pPr>
      <w:r>
        <w:rPr>
          <w:rFonts w:ascii="Calibri" w:hAnsi="Calibri"/>
          <w:b/>
          <w:color w:val="3B4259"/>
          <w:sz w:val="24"/>
        </w:rPr>
        <w:t>Top KPI 1: Organic Sales Growth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(bps)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2.9%</w:t>
            </w:r>
          </w:p>
        </w:tc>
        <w:tc>
          <w:tcPr>
            <w:tcW w:type="dxa" w:w="1728"/>
          </w:tcPr>
          <w:p>
            <w:r>
              <w:rPr>
                <w:rFonts w:ascii="Calibri" w:hAnsi="Calibri"/>
                <w:sz w:val="22"/>
              </w:rPr>
              <w:t>2.0%</w:t>
            </w:r>
          </w:p>
        </w:tc>
        <w:tc>
          <w:tcPr>
            <w:tcW w:type="dxa" w:w="1728"/>
          </w:tcPr>
          <w:p>
            <w:r>
              <w:rPr>
                <w:rFonts w:ascii="Calibri" w:hAnsi="Calibri"/>
                <w:sz w:val="22"/>
              </w:rPr>
              <w:t>+90 bps</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2.2%</w:t>
            </w:r>
          </w:p>
        </w:tc>
        <w:tc>
          <w:tcPr>
            <w:tcW w:type="dxa" w:w="1728"/>
          </w:tcPr>
          <w:p>
            <w:r>
              <w:rPr>
                <w:rFonts w:ascii="Calibri" w:hAnsi="Calibri"/>
                <w:sz w:val="22"/>
              </w:rPr>
              <w:t>1.2%</w:t>
            </w:r>
          </w:p>
        </w:tc>
        <w:tc>
          <w:tcPr>
            <w:tcW w:type="dxa" w:w="1728"/>
          </w:tcPr>
          <w:p>
            <w:r>
              <w:rPr>
                <w:rFonts w:ascii="Calibri" w:hAnsi="Calibri"/>
                <w:sz w:val="22"/>
              </w:rPr>
              <w:t>+100 bps</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0.4%</w:t>
            </w:r>
          </w:p>
        </w:tc>
        <w:tc>
          <w:tcPr>
            <w:tcW w:type="dxa" w:w="1728"/>
          </w:tcPr>
          <w:p>
            <w:r>
              <w:rPr>
                <w:rFonts w:ascii="Calibri" w:hAnsi="Calibri"/>
                <w:sz w:val="22"/>
              </w:rPr>
              <w:t>1.3%</w:t>
            </w:r>
          </w:p>
        </w:tc>
        <w:tc>
          <w:tcPr>
            <w:tcW w:type="dxa" w:w="1728"/>
          </w:tcPr>
          <w:p>
            <w:r>
              <w:rPr>
                <w:rFonts w:ascii="Calibri" w:hAnsi="Calibri"/>
                <w:sz w:val="22"/>
              </w:rPr>
              <w:t>−90 bps</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1.8%</w:t>
            </w:r>
          </w:p>
        </w:tc>
        <w:tc>
          <w:tcPr>
            <w:tcW w:type="dxa" w:w="1728"/>
          </w:tcPr>
          <w:p>
            <w:r>
              <w:rPr>
                <w:rFonts w:ascii="Calibri" w:hAnsi="Calibri"/>
                <w:sz w:val="22"/>
              </w:rPr>
              <w:t>1.6%</w:t>
            </w:r>
          </w:p>
        </w:tc>
        <w:tc>
          <w:tcPr>
            <w:tcW w:type="dxa" w:w="1728"/>
          </w:tcPr>
          <w:p>
            <w:r>
              <w:rPr>
                <w:rFonts w:ascii="Calibri" w:hAnsi="Calibri"/>
                <w:sz w:val="22"/>
              </w:rPr>
              <w:t>+20 bps</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1.4%</w:t>
            </w:r>
          </w:p>
        </w:tc>
        <w:tc>
          <w:tcPr>
            <w:tcW w:type="dxa" w:w="1728"/>
          </w:tcPr>
          <w:p>
            <w:r>
              <w:rPr>
                <w:rFonts w:ascii="Calibri" w:hAnsi="Calibri"/>
                <w:sz w:val="22"/>
              </w:rPr>
              <w:t>1.8%</w:t>
            </w:r>
          </w:p>
        </w:tc>
        <w:tc>
          <w:tcPr>
            <w:tcW w:type="dxa" w:w="1728"/>
          </w:tcPr>
          <w:p>
            <w:r>
              <w:rPr>
                <w:rFonts w:ascii="Calibri" w:hAnsi="Calibri"/>
                <w:sz w:val="22"/>
              </w:rPr>
              <w:t>−40 bps</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4.3%</w:t>
            </w:r>
          </w:p>
        </w:tc>
        <w:tc>
          <w:tcPr>
            <w:tcW w:type="dxa" w:w="1728"/>
          </w:tcPr>
          <w:p>
            <w:r>
              <w:rPr>
                <w:rFonts w:ascii="Calibri" w:hAnsi="Calibri"/>
                <w:sz w:val="22"/>
              </w:rPr>
              <w:t>5.5%</w:t>
            </w:r>
          </w:p>
        </w:tc>
        <w:tc>
          <w:tcPr>
            <w:tcW w:type="dxa" w:w="1728"/>
          </w:tcPr>
          <w:p>
            <w:r>
              <w:rPr>
                <w:rFonts w:ascii="Calibri" w:hAnsi="Calibri"/>
                <w:sz w:val="22"/>
              </w:rPr>
              <w:t>−120 bps</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6.8%</w:t>
            </w:r>
          </w:p>
        </w:tc>
        <w:tc>
          <w:tcPr>
            <w:tcW w:type="dxa" w:w="1728"/>
          </w:tcPr>
          <w:p>
            <w:r>
              <w:rPr>
                <w:rFonts w:ascii="Calibri" w:hAnsi="Calibri"/>
                <w:sz w:val="22"/>
              </w:rPr>
              <w:t>6.3%</w:t>
            </w:r>
          </w:p>
        </w:tc>
        <w:tc>
          <w:tcPr>
            <w:tcW w:type="dxa" w:w="1728"/>
          </w:tcPr>
          <w:p>
            <w:r>
              <w:rPr>
                <w:rFonts w:ascii="Calibri" w:hAnsi="Calibri"/>
                <w:sz w:val="22"/>
              </w:rPr>
              <w:t>+50 bps</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3"/>
      </w:pPr>
      <w:r>
        <w:rPr>
          <w:rFonts w:ascii="Calibri" w:hAnsi="Calibri"/>
          <w:b/>
          <w:color w:val="3B4259"/>
          <w:sz w:val="24"/>
        </w:rPr>
        <w:t>Top KPI 2: Adjusted Diluted EPS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$0.97</w:t>
            </w:r>
          </w:p>
        </w:tc>
        <w:tc>
          <w:tcPr>
            <w:tcW w:type="dxa" w:w="1728"/>
          </w:tcPr>
          <w:p>
            <w:r>
              <w:rPr>
                <w:rFonts w:ascii="Calibri" w:hAnsi="Calibri"/>
                <w:sz w:val="22"/>
              </w:rPr>
              <w:t>$0.946</w:t>
            </w:r>
          </w:p>
        </w:tc>
        <w:tc>
          <w:tcPr>
            <w:tcW w:type="dxa" w:w="1728"/>
          </w:tcPr>
          <w:p>
            <w:r>
              <w:rPr>
                <w:rFonts w:ascii="Calibri" w:hAnsi="Calibri"/>
                <w:sz w:val="22"/>
              </w:rPr>
              <w:t>+2.5%</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$0.95</w:t>
            </w:r>
          </w:p>
        </w:tc>
        <w:tc>
          <w:tcPr>
            <w:tcW w:type="dxa" w:w="1728"/>
          </w:tcPr>
          <w:p>
            <w:r>
              <w:rPr>
                <w:rFonts w:ascii="Calibri" w:hAnsi="Calibri"/>
                <w:sz w:val="22"/>
              </w:rPr>
              <w:t>$0.908</w:t>
            </w:r>
          </w:p>
        </w:tc>
        <w:tc>
          <w:tcPr>
            <w:tcW w:type="dxa" w:w="1728"/>
          </w:tcPr>
          <w:p>
            <w:r>
              <w:rPr>
                <w:rFonts w:ascii="Calibri" w:hAnsi="Calibri"/>
                <w:sz w:val="22"/>
              </w:rPr>
              <w:t>+4.6%</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$0.907</w:t>
            </w:r>
          </w:p>
        </w:tc>
        <w:tc>
          <w:tcPr>
            <w:tcW w:type="dxa" w:w="1728"/>
          </w:tcPr>
          <w:p>
            <w:r>
              <w:rPr>
                <w:rFonts w:ascii="Calibri" w:hAnsi="Calibri"/>
                <w:sz w:val="22"/>
              </w:rPr>
              <w:t>$0.888</w:t>
            </w:r>
          </w:p>
        </w:tc>
        <w:tc>
          <w:tcPr>
            <w:tcW w:type="dxa" w:w="1728"/>
          </w:tcPr>
          <w:p>
            <w:r>
              <w:rPr>
                <w:rFonts w:ascii="Calibri" w:hAnsi="Calibri"/>
                <w:sz w:val="22"/>
              </w:rPr>
              <w:t>+2.1%</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$0.92</w:t>
            </w:r>
          </w:p>
        </w:tc>
        <w:tc>
          <w:tcPr>
            <w:tcW w:type="dxa" w:w="1728"/>
          </w:tcPr>
          <w:p>
            <w:r>
              <w:rPr>
                <w:rFonts w:ascii="Calibri" w:hAnsi="Calibri"/>
                <w:sz w:val="22"/>
              </w:rPr>
              <w:t>$0.898</w:t>
            </w:r>
          </w:p>
        </w:tc>
        <w:tc>
          <w:tcPr>
            <w:tcW w:type="dxa" w:w="1728"/>
          </w:tcPr>
          <w:p>
            <w:r>
              <w:rPr>
                <w:rFonts w:ascii="Calibri" w:hAnsi="Calibri"/>
                <w:sz w:val="22"/>
              </w:rPr>
              <w:t>+2.5%</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$0.91</w:t>
            </w:r>
          </w:p>
        </w:tc>
        <w:tc>
          <w:tcPr>
            <w:tcW w:type="dxa" w:w="1728"/>
          </w:tcPr>
          <w:p>
            <w:r>
              <w:rPr>
                <w:rFonts w:ascii="Calibri" w:hAnsi="Calibri"/>
                <w:sz w:val="22"/>
              </w:rPr>
              <w:t>$0.854</w:t>
            </w:r>
          </w:p>
        </w:tc>
        <w:tc>
          <w:tcPr>
            <w:tcW w:type="dxa" w:w="1728"/>
          </w:tcPr>
          <w:p>
            <w:r>
              <w:rPr>
                <w:rFonts w:ascii="Calibri" w:hAnsi="Calibri"/>
                <w:sz w:val="22"/>
              </w:rPr>
              <w:t>+6.5%</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$0.91</w:t>
            </w:r>
          </w:p>
        </w:tc>
        <w:tc>
          <w:tcPr>
            <w:tcW w:type="dxa" w:w="1728"/>
          </w:tcPr>
          <w:p>
            <w:r>
              <w:rPr>
                <w:rFonts w:ascii="Calibri" w:hAnsi="Calibri"/>
                <w:sz w:val="22"/>
              </w:rPr>
              <w:t>$0.887</w:t>
            </w:r>
          </w:p>
        </w:tc>
        <w:tc>
          <w:tcPr>
            <w:tcW w:type="dxa" w:w="1728"/>
          </w:tcPr>
          <w:p>
            <w:r>
              <w:rPr>
                <w:rFonts w:ascii="Calibri" w:hAnsi="Calibri"/>
                <w:sz w:val="22"/>
              </w:rPr>
              <w:t>+2.6%</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$0.91</w:t>
            </w:r>
          </w:p>
        </w:tc>
        <w:tc>
          <w:tcPr>
            <w:tcW w:type="dxa" w:w="1728"/>
          </w:tcPr>
          <w:p>
            <w:r>
              <w:rPr>
                <w:rFonts w:ascii="Calibri" w:hAnsi="Calibri"/>
                <w:sz w:val="22"/>
              </w:rPr>
              <w:t>$0.886</w:t>
            </w:r>
          </w:p>
        </w:tc>
        <w:tc>
          <w:tcPr>
            <w:tcW w:type="dxa" w:w="1728"/>
          </w:tcPr>
          <w:p>
            <w:r>
              <w:rPr>
                <w:rFonts w:ascii="Calibri" w:hAnsi="Calibri"/>
                <w:sz w:val="22"/>
              </w:rPr>
              <w:t>+2.7%</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$0.91</w:t>
            </w:r>
          </w:p>
        </w:tc>
        <w:tc>
          <w:tcPr>
            <w:tcW w:type="dxa" w:w="1728"/>
          </w:tcPr>
          <w:p>
            <w:r>
              <w:rPr>
                <w:rFonts w:ascii="Calibri" w:hAnsi="Calibri"/>
                <w:sz w:val="22"/>
              </w:rPr>
              <w:t>$0.897</w:t>
            </w:r>
          </w:p>
        </w:tc>
        <w:tc>
          <w:tcPr>
            <w:tcW w:type="dxa" w:w="1728"/>
          </w:tcPr>
          <w:p>
            <w:r>
              <w:rPr>
                <w:rFonts w:ascii="Calibri" w:hAnsi="Calibri"/>
                <w:sz w:val="22"/>
              </w:rPr>
              <w:t>+1.4%</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CL has beaten adjusted EPS consensus in all 8 of the last 8 quarters, typically by 2–6%, establishing a consistent track record of modest upside delivery; organic sales growth has been more variable, with 5 beats and 2 misses in the last 7 reported quarters, suggesting the top line is the less predictable variable heading into Q2.</w:t>
      </w:r>
    </w:p>
    <w:p>
      <w:r>
        <w:rPr>
          <w:rFonts w:ascii="Calibri" w:hAnsi="Calibri"/>
          <w:i/>
          <w:color w:val="525866"/>
          <w:sz w:val="22"/>
        </w:rPr>
        <w:t>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 xml:space="preserve">The most significant post-Q1 guidance change was the </w:t>
      </w:r>
      <w:r>
        <w:rPr>
          <w:rFonts w:ascii="Calibri" w:hAnsi="Calibri"/>
          <w:b/>
          <w:color w:val="525866"/>
          <w:sz w:val="22"/>
        </w:rPr>
        <w:t>downgrade of FY2026 gross margin from up to down year-over-year</w:t>
      </w:r>
      <w:r>
        <w:rPr>
          <w:rFonts w:ascii="Calibri" w:hAnsi="Calibri"/>
          <w:color w:val="525866"/>
          <w:sz w:val="22"/>
        </w:rPr>
        <w:t>; organic sales and EPS guidance ranges were maintained, but the tone on North America demand has grown more cautious since the May 1 earnings call.</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1,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 (VA)</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Organic Sales Growth</w:t>
            </w:r>
          </w:p>
        </w:tc>
        <w:tc>
          <w:tcPr>
            <w:tcW w:type="dxa" w:w="1728"/>
          </w:tcPr>
          <w:p>
            <w:r>
              <w:rPr>
                <w:rFonts w:ascii="Calibri" w:hAnsi="Calibri"/>
                <w:sz w:val="22"/>
              </w:rPr>
              <w:t>1–4% (maintained from Q4 2025 call)</w:t>
            </w:r>
          </w:p>
        </w:tc>
        <w:tc>
          <w:tcPr>
            <w:tcW w:type="dxa" w:w="1728"/>
          </w:tcPr>
          <w:p>
            <w:r>
              <w:rPr>
                <w:rFonts w:ascii="Calibri" w:hAnsi="Calibri"/>
                <w:sz w:val="22"/>
              </w:rPr>
              <w:t>—</w:t>
            </w:r>
          </w:p>
        </w:tc>
        <w:tc>
          <w:tcPr>
            <w:tcW w:type="dxa" w:w="1728"/>
          </w:tcPr>
          <w:p>
            <w:r>
              <w:rPr>
                <w:rFonts w:ascii="Calibri" w:hAnsi="Calibri"/>
                <w:sz w:val="22"/>
              </w:rPr>
              <w:t>~2.9%</w:t>
            </w:r>
          </w:p>
        </w:tc>
        <w:tc>
          <w:tcPr>
            <w:tcW w:type="dxa" w:w="1728"/>
          </w:tcPr>
          <w:p>
            <w:r>
              <w:rPr>
                <w:rFonts w:ascii="Calibri" w:hAnsi="Calibri"/>
                <w:sz w:val="22"/>
              </w:rPr>
              <w:t>Unchanged; consensus tracking near midpoint</w:t>
            </w:r>
          </w:p>
        </w:tc>
      </w:tr>
      <w:tr>
        <w:tc>
          <w:tcPr>
            <w:tcW w:type="dxa" w:w="1728"/>
          </w:tcPr>
          <w:p>
            <w:r>
              <w:rPr>
                <w:rFonts w:ascii="Calibri" w:hAnsi="Calibri"/>
                <w:sz w:val="22"/>
              </w:rPr>
              <w:t>FY2026 Adj. EPS Growth</w:t>
            </w:r>
          </w:p>
        </w:tc>
        <w:tc>
          <w:tcPr>
            <w:tcW w:type="dxa" w:w="1728"/>
          </w:tcPr>
          <w:p>
            <w:r>
              <w:rPr>
                <w:rFonts w:ascii="Calibri" w:hAnsi="Calibri"/>
                <w:sz w:val="22"/>
              </w:rPr>
              <w:t>Low-to-mid single digit growth</w:t>
            </w:r>
          </w:p>
        </w:tc>
        <w:tc>
          <w:tcPr>
            <w:tcW w:type="dxa" w:w="1728"/>
          </w:tcPr>
          <w:p>
            <w:r>
              <w:rPr>
                <w:rFonts w:ascii="Calibri" w:hAnsi="Calibri"/>
                <w:sz w:val="22"/>
              </w:rPr>
              <w:t>—</w:t>
            </w:r>
          </w:p>
        </w:tc>
        <w:tc>
          <w:tcPr>
            <w:tcW w:type="dxa" w:w="1728"/>
          </w:tcPr>
          <w:p>
            <w:r>
              <w:rPr>
                <w:rFonts w:ascii="Calibri" w:hAnsi="Calibri"/>
                <w:sz w:val="22"/>
              </w:rPr>
              <w:t>$3.80 (~+3.5% YoY)</w:t>
            </w:r>
          </w:p>
        </w:tc>
        <w:tc>
          <w:tcPr>
            <w:tcW w:type="dxa" w:w="1728"/>
          </w:tcPr>
          <w:p>
            <w:r>
              <w:rPr>
                <w:rFonts w:ascii="Calibri" w:hAnsi="Calibri"/>
                <w:sz w:val="22"/>
              </w:rPr>
              <w:t>Unchanged; management “very comfortable” with range</w:t>
            </w:r>
          </w:p>
        </w:tc>
      </w:tr>
      <w:tr>
        <w:tc>
          <w:tcPr>
            <w:tcW w:type="dxa" w:w="1728"/>
          </w:tcPr>
          <w:p>
            <w:r>
              <w:rPr>
                <w:rFonts w:ascii="Calibri" w:hAnsi="Calibri"/>
                <w:sz w:val="22"/>
              </w:rPr>
              <w:t>FY2026 Gross Profit Margin</w:t>
            </w:r>
          </w:p>
        </w:tc>
        <w:tc>
          <w:tcPr>
            <w:tcW w:type="dxa" w:w="1728"/>
          </w:tcPr>
          <w:p>
            <w:r>
              <w:rPr>
                <w:rFonts w:ascii="Calibri" w:hAnsi="Calibri"/>
                <w:sz w:val="22"/>
              </w:rPr>
              <w:t>Down YoY (revised on Q1 call from previously expected up)</w:t>
            </w:r>
          </w:p>
        </w:tc>
        <w:tc>
          <w:tcPr>
            <w:tcW w:type="dxa" w:w="1728"/>
          </w:tcPr>
          <w:p>
            <w:r>
              <w:rPr>
                <w:rFonts w:ascii="Calibri" w:hAnsi="Calibri"/>
                <w:sz w:val="22"/>
              </w:rPr>
              <w:t>—</w:t>
            </w:r>
          </w:p>
        </w:tc>
        <w:tc>
          <w:tcPr>
            <w:tcW w:type="dxa" w:w="1728"/>
          </w:tcPr>
          <w:p>
            <w:r>
              <w:rPr>
                <w:rFonts w:ascii="Calibri" w:hAnsi="Calibri"/>
                <w:sz w:val="22"/>
              </w:rPr>
              <w:t>Tracking down YoY</w:t>
            </w:r>
          </w:p>
        </w:tc>
        <w:tc>
          <w:tcPr>
            <w:tcW w:type="dxa" w:w="1728"/>
          </w:tcPr>
          <w:p>
            <w:r>
              <w:rPr>
                <w:rFonts w:ascii="Calibri" w:hAnsi="Calibri"/>
                <w:sz w:val="22"/>
              </w:rPr>
              <w:t>↓ Downgraded on Q1 call (May 1); ~$300M incremental raw material &amp; logistics headwind; oil assumed at ~$110/bbl for remainder of year</w:t>
            </w:r>
          </w:p>
        </w:tc>
      </w:tr>
      <w:tr>
        <w:tc>
          <w:tcPr>
            <w:tcW w:type="dxa" w:w="1728"/>
          </w:tcPr>
          <w:p>
            <w:r>
              <w:rPr>
                <w:rFonts w:ascii="Calibri" w:hAnsi="Calibri"/>
                <w:sz w:val="22"/>
              </w:rPr>
              <w:t>SGPP Annualized Savings Target</w:t>
            </w:r>
          </w:p>
        </w:tc>
        <w:tc>
          <w:tcPr>
            <w:tcW w:type="dxa" w:w="1728"/>
          </w:tcPr>
          <w:p>
            <w:r>
              <w:rPr>
                <w:rFonts w:ascii="Calibri" w:hAnsi="Calibri"/>
                <w:sz w:val="22"/>
              </w:rPr>
              <w:t>$200M–$300M (expanded from prior range; announced May 1)</w:t>
            </w:r>
          </w:p>
        </w:tc>
        <w:tc>
          <w:tcPr>
            <w:tcW w:type="dxa" w:w="1728"/>
          </w:tcPr>
          <w:p>
            <w:r>
              <w:rPr>
                <w:rFonts w:ascii="Calibri" w:hAnsi="Calibri"/>
                <w:sz w:val="22"/>
              </w:rPr>
              <w:t>—</w:t>
            </w:r>
          </w:p>
        </w:tc>
        <w:tc>
          <w:tcPr>
            <w:tcW w:type="dxa" w:w="1728"/>
          </w:tcPr>
          <w:p>
            <w:r>
              <w:rPr>
                <w:rFonts w:ascii="Calibri" w:hAnsi="Calibri"/>
                <w:sz w:val="22"/>
              </w:rPr>
              <w:t>N/A (not consensus-tracked)</w:t>
            </w:r>
          </w:p>
        </w:tc>
        <w:tc>
          <w:tcPr>
            <w:tcW w:type="dxa" w:w="1728"/>
          </w:tcPr>
          <w:p>
            <w:r>
              <w:rPr>
                <w:rFonts w:ascii="Calibri" w:hAnsi="Calibri"/>
                <w:sz w:val="22"/>
              </w:rPr>
              <w:t>↑ Raised at Q1 earnings; program end date unchanged (Dec 31, 2028); majority of savings in 2027–2028</w:t>
            </w:r>
          </w:p>
        </w:tc>
      </w:tr>
      <w:tr>
        <w:tc>
          <w:tcPr>
            <w:tcW w:type="dxa" w:w="1728"/>
          </w:tcPr>
          <w:p>
            <w:r>
              <w:rPr>
                <w:rFonts w:ascii="Calibri" w:hAnsi="Calibri"/>
                <w:sz w:val="22"/>
              </w:rPr>
              <w:t>North America Demand Tone</w:t>
            </w:r>
          </w:p>
        </w:tc>
        <w:tc>
          <w:tcPr>
            <w:tcW w:type="dxa" w:w="1728"/>
          </w:tcPr>
          <w:p>
            <w:r>
              <w:rPr>
                <w:rFonts w:ascii="Calibri" w:hAnsi="Calibri"/>
                <w:sz w:val="22"/>
              </w:rPr>
              <w:t>Sequential improvement expected; early innovation signs encouraging</w:t>
            </w:r>
          </w:p>
        </w:tc>
        <w:tc>
          <w:tcPr>
            <w:tcW w:type="dxa" w:w="1728"/>
          </w:tcPr>
          <w:p>
            <w:r>
              <w:rPr>
                <w:rFonts w:ascii="Calibri" w:hAnsi="Calibri"/>
                <w:sz w:val="22"/>
              </w:rPr>
              <w:t>More cautious: categories “markedly slowed” beginning early May 2026 (DB Conference, June 3)</w:t>
            </w:r>
          </w:p>
        </w:tc>
        <w:tc>
          <w:tcPr>
            <w:tcW w:type="dxa" w:w="1728"/>
          </w:tcPr>
          <w:p>
            <w:r>
              <w:rPr>
                <w:rFonts w:ascii="Calibri" w:hAnsi="Calibri"/>
                <w:sz w:val="22"/>
              </w:rPr>
              <w:t>N/A</w:t>
            </w:r>
          </w:p>
        </w:tc>
        <w:tc>
          <w:tcPr>
            <w:tcW w:type="dxa" w:w="1728"/>
          </w:tcPr>
          <w:p>
            <w:r>
              <w:rPr>
                <w:rFonts w:ascii="Calibri" w:hAnsi="Calibri"/>
                <w:sz w:val="22"/>
              </w:rPr>
              <w:t>↓ Tone shifted post-Q1; new demand risk layer added on top of tariff-driven margin pressure</w:t>
            </w:r>
          </w:p>
        </w:tc>
      </w:tr>
    </w:tbl>
    <w:p>
      <w:r>
        <w:rPr>
          <w:rFonts w:ascii="Calibri" w:hAnsi="Calibri"/>
          <w:i/>
          <w:color w:val="525866"/>
          <w:sz w:val="22"/>
        </w:rPr>
        <w:t>Source: CL Q1 2026 Earnings Call Transcript (May 1, 2026); CL dbAccess Global Consumer Conference (June 3, 2026); Visible Alpha Consensus Data.</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for Q2 and FY2026 have been </w:t>
      </w:r>
      <w:r>
        <w:rPr>
          <w:rFonts w:ascii="Calibri" w:hAnsi="Calibri"/>
          <w:b/>
          <w:color w:val="525866"/>
          <w:sz w:val="22"/>
        </w:rPr>
        <w:t>revised modestly lower since the Q1 print</w:t>
      </w:r>
      <w:r>
        <w:rPr>
          <w:rFonts w:ascii="Calibri" w:hAnsi="Calibri"/>
          <w:color w:val="525866"/>
          <w:sz w:val="22"/>
        </w:rPr>
        <w:t xml:space="preserve"> on both organic sales and EPS, tracking the gross margin guidance downgrade; the gap between current consensus and the low end of guidance is narrow, suggesting limited cushion if North America demand deteriorates further.</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8, 2026)</w:t>
            </w:r>
          </w:p>
        </w:tc>
        <w:tc>
          <w:tcPr>
            <w:tcW w:type="dxa" w:w="1080"/>
            <w:shd w:val="clear" w:color="auto" w:fill="3B4259"/>
          </w:tcPr>
          <w:p>
            <w:r>
              <w:rPr>
                <w:rFonts w:ascii="Calibri" w:hAnsi="Calibri"/>
                <w:b/>
                <w:color w:val="FFFFFF"/>
                <w:sz w:val="22"/>
              </w:rPr>
              <w:t>Current Consensus (July 30,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Net Sales — Q2 2026</w:t>
            </w:r>
          </w:p>
        </w:tc>
        <w:tc>
          <w:tcPr>
            <w:tcW w:type="dxa" w:w="1080"/>
          </w:tcPr>
          <w:p>
            <w:r>
              <w:rPr>
                <w:rFonts w:ascii="Calibri" w:hAnsi="Calibri"/>
                <w:sz w:val="22"/>
              </w:rPr>
              <w:t>$5.356B</w:t>
            </w:r>
          </w:p>
        </w:tc>
        <w:tc>
          <w:tcPr>
            <w:tcW w:type="dxa" w:w="1080"/>
          </w:tcPr>
          <w:p>
            <w:r>
              <w:rPr>
                <w:rFonts w:ascii="Calibri" w:hAnsi="Calibri"/>
                <w:sz w:val="22"/>
              </w:rPr>
              <w:t>$5.348B</w:t>
            </w:r>
          </w:p>
        </w:tc>
        <w:tc>
          <w:tcPr>
            <w:tcW w:type="dxa" w:w="1080"/>
          </w:tcPr>
          <w:p>
            <w:r>
              <w:rPr>
                <w:rFonts w:ascii="Calibri" w:hAnsi="Calibri"/>
                <w:sz w:val="22"/>
              </w:rPr>
              <w:t>−0.1%</w:t>
            </w:r>
          </w:p>
        </w:tc>
        <w:tc>
          <w:tcPr>
            <w:tcW w:type="dxa" w:w="1080"/>
          </w:tcPr>
          <w:p>
            <w:r>
              <w:rPr>
                <w:rFonts w:ascii="Calibri" w:hAnsi="Calibri"/>
                <w:sz w:val="22"/>
              </w:rPr>
              <w:t>N/A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Organic Sales Growth — Q2 2026</w:t>
            </w:r>
          </w:p>
        </w:tc>
        <w:tc>
          <w:tcPr>
            <w:tcW w:type="dxa" w:w="1080"/>
          </w:tcPr>
          <w:p>
            <w:r>
              <w:rPr>
                <w:rFonts w:ascii="Calibri" w:hAnsi="Calibri"/>
                <w:sz w:val="22"/>
              </w:rPr>
              <w:t>~2.4%</w:t>
            </w:r>
          </w:p>
        </w:tc>
        <w:tc>
          <w:tcPr>
            <w:tcW w:type="dxa" w:w="1080"/>
          </w:tcPr>
          <w:p>
            <w:r>
              <w:rPr>
                <w:rFonts w:ascii="Calibri" w:hAnsi="Calibri"/>
                <w:sz w:val="22"/>
              </w:rPr>
              <w:t>~2.4%</w:t>
            </w:r>
          </w:p>
        </w:tc>
        <w:tc>
          <w:tcPr>
            <w:tcW w:type="dxa" w:w="1080"/>
          </w:tcPr>
          <w:p>
            <w:r>
              <w:rPr>
                <w:rFonts w:ascii="Calibri" w:hAnsi="Calibri"/>
                <w:sz w:val="22"/>
              </w:rPr>
              <w:t>Flat</w:t>
            </w:r>
          </w:p>
        </w:tc>
        <w:tc>
          <w:tcPr>
            <w:tcW w:type="dxa" w:w="1080"/>
          </w:tcPr>
          <w:p>
            <w:r>
              <w:rPr>
                <w:rFonts w:ascii="Calibri" w:hAnsi="Calibri"/>
                <w:sz w:val="22"/>
              </w:rPr>
              <w:t>1–4% FY range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Near midpoint</w:t>
            </w:r>
          </w:p>
        </w:tc>
      </w:tr>
      <w:tr>
        <w:tc>
          <w:tcPr>
            <w:tcW w:type="dxa" w:w="1080"/>
          </w:tcPr>
          <w:p>
            <w:r>
              <w:rPr>
                <w:rFonts w:ascii="Calibri" w:hAnsi="Calibri"/>
                <w:sz w:val="22"/>
              </w:rPr>
              <w:t>Adj. EPS — Q2 2026</w:t>
            </w:r>
          </w:p>
        </w:tc>
        <w:tc>
          <w:tcPr>
            <w:tcW w:type="dxa" w:w="1080"/>
          </w:tcPr>
          <w:p>
            <w:r>
              <w:rPr>
                <w:rFonts w:ascii="Calibri" w:hAnsi="Calibri"/>
                <w:sz w:val="22"/>
              </w:rPr>
              <w:t>$0.949</w:t>
            </w:r>
          </w:p>
        </w:tc>
        <w:tc>
          <w:tcPr>
            <w:tcW w:type="dxa" w:w="1080"/>
          </w:tcPr>
          <w:p>
            <w:r>
              <w:rPr>
                <w:rFonts w:ascii="Calibri" w:hAnsi="Calibri"/>
                <w:sz w:val="22"/>
              </w:rPr>
              <w:t>$0.948</w:t>
            </w:r>
          </w:p>
        </w:tc>
        <w:tc>
          <w:tcPr>
            <w:tcW w:type="dxa" w:w="1080"/>
          </w:tcPr>
          <w:p>
            <w:r>
              <w:rPr>
                <w:rFonts w:ascii="Calibri" w:hAnsi="Calibri"/>
                <w:sz w:val="22"/>
              </w:rPr>
              <w:t>−0.1%</w:t>
            </w:r>
          </w:p>
        </w:tc>
        <w:tc>
          <w:tcPr>
            <w:tcW w:type="dxa" w:w="1080"/>
          </w:tcPr>
          <w:p>
            <w:r>
              <w:rPr>
                <w:rFonts w:ascii="Calibri" w:hAnsi="Calibri"/>
                <w:sz w:val="22"/>
              </w:rPr>
              <w:t>Low-to-mid single digit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Within range</w:t>
            </w:r>
          </w:p>
        </w:tc>
      </w:tr>
      <w:tr>
        <w:tc>
          <w:tcPr>
            <w:tcW w:type="dxa" w:w="1080"/>
          </w:tcPr>
          <w:p>
            <w:r>
              <w:rPr>
                <w:rFonts w:ascii="Calibri" w:hAnsi="Calibri"/>
                <w:sz w:val="22"/>
              </w:rPr>
              <w:t>Net Sales — FY2026</w:t>
            </w:r>
          </w:p>
        </w:tc>
        <w:tc>
          <w:tcPr>
            <w:tcW w:type="dxa" w:w="1080"/>
          </w:tcPr>
          <w:p>
            <w:r>
              <w:rPr>
                <w:rFonts w:ascii="Calibri" w:hAnsi="Calibri"/>
                <w:sz w:val="22"/>
              </w:rPr>
              <w:t>$21.474B</w:t>
            </w:r>
          </w:p>
        </w:tc>
        <w:tc>
          <w:tcPr>
            <w:tcW w:type="dxa" w:w="1080"/>
          </w:tcPr>
          <w:p>
            <w:r>
              <w:rPr>
                <w:rFonts w:ascii="Calibri" w:hAnsi="Calibri"/>
                <w:sz w:val="22"/>
              </w:rPr>
              <w:t>$21.417B</w:t>
            </w:r>
          </w:p>
        </w:tc>
        <w:tc>
          <w:tcPr>
            <w:tcW w:type="dxa" w:w="1080"/>
          </w:tcPr>
          <w:p>
            <w:r>
              <w:rPr>
                <w:rFonts w:ascii="Calibri" w:hAnsi="Calibri"/>
                <w:sz w:val="22"/>
              </w:rPr>
              <w:t>−0.3%</w:t>
            </w:r>
          </w:p>
        </w:tc>
        <w:tc>
          <w:tcPr>
            <w:tcW w:type="dxa" w:w="1080"/>
          </w:tcPr>
          <w:p>
            <w:r>
              <w:rPr>
                <w:rFonts w:ascii="Calibri" w:hAnsi="Calibri"/>
                <w:sz w:val="22"/>
              </w:rPr>
              <w:t>N/A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Organic Sales Growth — FY2026</w:t>
            </w:r>
          </w:p>
        </w:tc>
        <w:tc>
          <w:tcPr>
            <w:tcW w:type="dxa" w:w="1080"/>
          </w:tcPr>
          <w:p>
            <w:r>
              <w:rPr>
                <w:rFonts w:ascii="Calibri" w:hAnsi="Calibri"/>
                <w:sz w:val="22"/>
              </w:rPr>
              <w:t>~2.9%</w:t>
            </w:r>
          </w:p>
        </w:tc>
        <w:tc>
          <w:tcPr>
            <w:tcW w:type="dxa" w:w="1080"/>
          </w:tcPr>
          <w:p>
            <w:r>
              <w:rPr>
                <w:rFonts w:ascii="Calibri" w:hAnsi="Calibri"/>
                <w:sz w:val="22"/>
              </w:rPr>
              <w:t>~2.9%</w:t>
            </w:r>
          </w:p>
        </w:tc>
        <w:tc>
          <w:tcPr>
            <w:tcW w:type="dxa" w:w="1080"/>
          </w:tcPr>
          <w:p>
            <w:r>
              <w:rPr>
                <w:rFonts w:ascii="Calibri" w:hAnsi="Calibri"/>
                <w:sz w:val="22"/>
              </w:rPr>
              <w:t>Flat</w:t>
            </w:r>
          </w:p>
        </w:tc>
        <w:tc>
          <w:tcPr>
            <w:tcW w:type="dxa" w:w="1080"/>
          </w:tcPr>
          <w:p>
            <w:r>
              <w:rPr>
                <w:rFonts w:ascii="Calibri" w:hAnsi="Calibri"/>
                <w:sz w:val="22"/>
              </w:rPr>
              <w:t>1–4% (midpoint 2.5%)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+40 bps above midpoint</w:t>
            </w:r>
          </w:p>
        </w:tc>
      </w:tr>
      <w:tr>
        <w:tc>
          <w:tcPr>
            <w:tcW w:type="dxa" w:w="1080"/>
          </w:tcPr>
          <w:p>
            <w:r>
              <w:rPr>
                <w:rFonts w:ascii="Calibri" w:hAnsi="Calibri"/>
                <w:sz w:val="22"/>
              </w:rPr>
              <w:t>Adj. EPS — FY2026</w:t>
            </w:r>
          </w:p>
        </w:tc>
        <w:tc>
          <w:tcPr>
            <w:tcW w:type="dxa" w:w="1080"/>
          </w:tcPr>
          <w:p>
            <w:r>
              <w:rPr>
                <w:rFonts w:ascii="Calibri" w:hAnsi="Calibri"/>
                <w:sz w:val="22"/>
              </w:rPr>
              <w:t>$3.799</w:t>
            </w:r>
          </w:p>
        </w:tc>
        <w:tc>
          <w:tcPr>
            <w:tcW w:type="dxa" w:w="1080"/>
          </w:tcPr>
          <w:p>
            <w:r>
              <w:rPr>
                <w:rFonts w:ascii="Calibri" w:hAnsi="Calibri"/>
                <w:sz w:val="22"/>
              </w:rPr>
              <w:t>$3.800</w:t>
            </w:r>
          </w:p>
        </w:tc>
        <w:tc>
          <w:tcPr>
            <w:tcW w:type="dxa" w:w="1080"/>
          </w:tcPr>
          <w:p>
            <w:r>
              <w:rPr>
                <w:rFonts w:ascii="Calibri" w:hAnsi="Calibri"/>
                <w:sz w:val="22"/>
              </w:rPr>
              <w:t>+0.0%</w:t>
            </w:r>
          </w:p>
        </w:tc>
        <w:tc>
          <w:tcPr>
            <w:tcW w:type="dxa" w:w="1080"/>
          </w:tcPr>
          <w:p>
            <w:r>
              <w:rPr>
                <w:rFonts w:ascii="Calibri" w:hAnsi="Calibri"/>
                <w:sz w:val="22"/>
              </w:rPr>
              <w:t>Low-to-mid single digit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Within range</w:t>
            </w:r>
          </w:p>
        </w:tc>
      </w:tr>
    </w:tbl>
    <w:p>
      <w:r>
        <w:rPr>
          <w:rFonts w:ascii="Calibri" w:hAnsi="Calibri"/>
          <w:color w:val="525866"/>
          <w:sz w:val="22"/>
        </w:rPr>
        <w:t>Estimates have been remarkably stable since the Q1 print, with virtually no revision to EPS or organic sales growth for either Q2 or FY2026 — the gross margin guidance downgrade was absorbed without a meaningful EPS cut, suggesting the Street believes management’s productivity and RGM offsets are credible. The risk is asymmetric: if North America demand softness deepened through June, estimates have no cushion built in.</w:t>
      </w:r>
    </w:p>
    <w:p>
      <w:r>
        <w:rPr>
          <w:rFonts w:ascii="Calibri" w:hAnsi="Calibri"/>
          <w:i/>
          <w:color w:val="525866"/>
          <w:sz w:val="22"/>
        </w:rPr>
        <w:t>Source: Visible Alpha Consensus and Actuals Data (as-of date May 8, 2026 and current). Guidance from CL Q1 2026 Earnings Call (May 1, 2026).</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CL has </w:t>
      </w:r>
      <w:r>
        <w:rPr>
          <w:rFonts w:ascii="Calibri" w:hAnsi="Calibri"/>
          <w:b/>
          <w:color w:val="525866"/>
          <w:sz w:val="22"/>
        </w:rPr>
        <w:t>outperformed both XLP and the S&amp;P 500 since the Q1 earnings date</w:t>
      </w:r>
      <w:r>
        <w:rPr>
          <w:rFonts w:ascii="Calibri" w:hAnsi="Calibri"/>
          <w:color w:val="525866"/>
          <w:sz w:val="22"/>
        </w:rPr>
        <w:t xml:space="preserve">, driven primarily by </w:t>
      </w:r>
      <w:r>
        <w:rPr>
          <w:rFonts w:ascii="Calibri" w:hAnsi="Calibri"/>
          <w:b/>
          <w:color w:val="525866"/>
          <w:sz w:val="22"/>
        </w:rPr>
        <w:t>multiple expansion</w:t>
      </w:r>
      <w:r>
        <w:rPr>
          <w:rFonts w:ascii="Calibri" w:hAnsi="Calibri"/>
          <w:color w:val="525866"/>
          <w:sz w:val="22"/>
        </w:rPr>
        <w:t xml:space="preserve"> rather than estimate revisions — the NTM P/E expanded from ~22.3x to ~23.8x over the period, suggesting the market is paying up for defensive quality amid macro uncertainty, not for earnings upgrades.</w:t>
      </w:r>
    </w:p>
    <w:p>
      <w:r>
        <w:rPr>
          <w:rFonts w:ascii="Calibri" w:hAnsi="Calibri"/>
          <w:b/>
          <w:color w:val="525866"/>
          <w:sz w:val="22"/>
        </w:rPr>
        <w:t xml:space="preserve">Sector ETF used: </w:t>
      </w:r>
      <w:r>
        <w:rPr>
          <w:rFonts w:ascii="Calibri" w:hAnsi="Calibri"/>
          <w:color w:val="525866"/>
          <w:sz w:val="22"/>
        </w:rPr>
        <w:t>XLP (Consumer Staples Select Sector SPDR Fund) — appropriate for CL’s sub-sector as a large-cap global household &amp; personal products company.</w:t>
      </w:r>
    </w:p>
    <w:p>
      <w:r>
        <w:rPr>
          <w:rFonts w:ascii="Calibri" w:hAnsi="Calibri"/>
          <w:b/>
          <w:color w:val="525866"/>
          <w:sz w:val="22"/>
        </w:rPr>
        <w:t>Indexed Performance Since Q1 Earnings (May 1, 2026 = 100):</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CL (Indexed)</w:t>
            </w:r>
          </w:p>
        </w:tc>
        <w:tc>
          <w:tcPr>
            <w:tcW w:type="dxa" w:w="2160"/>
            <w:shd w:val="clear" w:color="auto" w:fill="3B4259"/>
          </w:tcPr>
          <w:p>
            <w:r>
              <w:rPr>
                <w:rFonts w:ascii="Calibri" w:hAnsi="Calibri"/>
                <w:b/>
                <w:color w:val="FFFFFF"/>
                <w:sz w:val="22"/>
              </w:rPr>
              <w:t>XLP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May 1, 2026 (Base)</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29, 2026</w:t>
            </w:r>
          </w:p>
        </w:tc>
        <w:tc>
          <w:tcPr>
            <w:tcW w:type="dxa" w:w="2160"/>
          </w:tcPr>
          <w:p>
            <w:r>
              <w:rPr>
                <w:rFonts w:ascii="Calibri" w:hAnsi="Calibri"/>
                <w:sz w:val="22"/>
              </w:rPr>
              <w:t>103.3</w:t>
            </w:r>
          </w:p>
        </w:tc>
        <w:tc>
          <w:tcPr>
            <w:tcW w:type="dxa" w:w="2160"/>
          </w:tcPr>
          <w:p>
            <w:r>
              <w:rPr>
                <w:rFonts w:ascii="Calibri" w:hAnsi="Calibri"/>
                <w:sz w:val="22"/>
              </w:rPr>
              <w:t>100.3</w:t>
            </w:r>
          </w:p>
        </w:tc>
        <w:tc>
          <w:tcPr>
            <w:tcW w:type="dxa" w:w="2160"/>
          </w:tcPr>
          <w:p>
            <w:r>
              <w:rPr>
                <w:rFonts w:ascii="Calibri" w:hAnsi="Calibri"/>
                <w:sz w:val="22"/>
              </w:rPr>
              <w:t>104.8</w:t>
            </w:r>
          </w:p>
        </w:tc>
      </w:tr>
      <w:tr>
        <w:tc>
          <w:tcPr>
            <w:tcW w:type="dxa" w:w="2160"/>
          </w:tcPr>
          <w:p>
            <w:r>
              <w:rPr>
                <w:rFonts w:ascii="Calibri" w:hAnsi="Calibri"/>
                <w:sz w:val="22"/>
              </w:rPr>
              <w:t>June 30, 2026</w:t>
            </w:r>
          </w:p>
        </w:tc>
        <w:tc>
          <w:tcPr>
            <w:tcW w:type="dxa" w:w="2160"/>
          </w:tcPr>
          <w:p>
            <w:r>
              <w:rPr>
                <w:rFonts w:ascii="Calibri" w:hAnsi="Calibri"/>
                <w:sz w:val="22"/>
              </w:rPr>
              <w:t>105.1</w:t>
            </w:r>
          </w:p>
        </w:tc>
        <w:tc>
          <w:tcPr>
            <w:tcW w:type="dxa" w:w="2160"/>
          </w:tcPr>
          <w:p>
            <w:r>
              <w:rPr>
                <w:rFonts w:ascii="Calibri" w:hAnsi="Calibri"/>
                <w:sz w:val="22"/>
              </w:rPr>
              <w:t>98.7</w:t>
            </w:r>
          </w:p>
        </w:tc>
        <w:tc>
          <w:tcPr>
            <w:tcW w:type="dxa" w:w="2160"/>
          </w:tcPr>
          <w:p>
            <w:r>
              <w:rPr>
                <w:rFonts w:ascii="Calibri" w:hAnsi="Calibri"/>
                <w:sz w:val="22"/>
              </w:rPr>
              <w:t>103.6</w:t>
            </w:r>
          </w:p>
        </w:tc>
      </w:tr>
      <w:tr>
        <w:tc>
          <w:tcPr>
            <w:tcW w:type="dxa" w:w="2160"/>
          </w:tcPr>
          <w:p>
            <w:r>
              <w:rPr>
                <w:rFonts w:ascii="Calibri" w:hAnsi="Calibri"/>
                <w:sz w:val="22"/>
              </w:rPr>
              <w:t>July 16, 2026</w:t>
            </w:r>
          </w:p>
        </w:tc>
        <w:tc>
          <w:tcPr>
            <w:tcW w:type="dxa" w:w="2160"/>
          </w:tcPr>
          <w:p>
            <w:r>
              <w:rPr>
                <w:rFonts w:ascii="Calibri" w:hAnsi="Calibri"/>
                <w:sz w:val="22"/>
              </w:rPr>
              <w:t>107.8</w:t>
            </w:r>
          </w:p>
        </w:tc>
        <w:tc>
          <w:tcPr>
            <w:tcW w:type="dxa" w:w="2160"/>
          </w:tcPr>
          <w:p>
            <w:r>
              <w:rPr>
                <w:rFonts w:ascii="Calibri" w:hAnsi="Calibri"/>
                <w:sz w:val="22"/>
              </w:rPr>
              <w:t>101.9</w:t>
            </w:r>
          </w:p>
        </w:tc>
        <w:tc>
          <w:tcPr>
            <w:tcW w:type="dxa" w:w="2160"/>
          </w:tcPr>
          <w:p>
            <w:r>
              <w:rPr>
                <w:rFonts w:ascii="Calibri" w:hAnsi="Calibri"/>
                <w:sz w:val="22"/>
              </w:rPr>
              <w:t>104.2</w:t>
            </w:r>
          </w:p>
        </w:tc>
      </w:tr>
      <w:tr>
        <w:tc>
          <w:tcPr>
            <w:tcW w:type="dxa" w:w="2160"/>
          </w:tcPr>
          <w:p>
            <w:r>
              <w:rPr>
                <w:rFonts w:ascii="Calibri" w:hAnsi="Calibri"/>
                <w:sz w:val="22"/>
              </w:rPr>
              <w:t>July 31, 2026 (Latest)</w:t>
            </w:r>
          </w:p>
        </w:tc>
        <w:tc>
          <w:tcPr>
            <w:tcW w:type="dxa" w:w="2160"/>
          </w:tcPr>
          <w:p>
            <w:r>
              <w:rPr>
                <w:rFonts w:ascii="Calibri" w:hAnsi="Calibri"/>
                <w:sz w:val="22"/>
              </w:rPr>
              <w:t>105.0</w:t>
            </w:r>
          </w:p>
        </w:tc>
        <w:tc>
          <w:tcPr>
            <w:tcW w:type="dxa" w:w="2160"/>
          </w:tcPr>
          <w:p>
            <w:r>
              <w:rPr>
                <w:rFonts w:ascii="Calibri" w:hAnsi="Calibri"/>
                <w:sz w:val="22"/>
              </w:rPr>
              <w:t>101.5</w:t>
            </w:r>
          </w:p>
        </w:tc>
        <w:tc>
          <w:tcPr>
            <w:tcW w:type="dxa" w:w="2160"/>
          </w:tcPr>
          <w:p>
            <w:r>
              <w:rPr>
                <w:rFonts w:ascii="Calibri" w:hAnsi="Calibri"/>
                <w:sz w:val="22"/>
              </w:rPr>
              <w:t>102.9</w:t>
            </w:r>
          </w:p>
        </w:tc>
      </w:tr>
    </w:tbl>
    <w:p>
      <w:r>
        <w:rPr>
          <w:rFonts w:ascii="Calibri" w:hAnsi="Calibri"/>
          <w:b/>
          <w:color w:val="525866"/>
          <w:sz w:val="22"/>
        </w:rPr>
        <w:t>Key Events Since May 1, 2026:</w:t>
      </w:r>
    </w:p>
    <w:p>
      <w:pPr>
        <w:pStyle w:val="ListBullet"/>
        <w:ind w:left="360" w:hanging="360"/>
      </w:pPr>
      <w:r>
        <w:rPr>
          <w:rFonts w:ascii="Calibri" w:hAnsi="Calibri"/>
          <w:b/>
          <w:color w:val="525866"/>
          <w:sz w:val="22"/>
        </w:rPr>
        <w:t>May 1, 2026:</w:t>
      </w:r>
      <w:r>
        <w:rPr>
          <w:rFonts w:ascii="Calibri" w:hAnsi="Calibri"/>
          <w:color w:val="525866"/>
          <w:sz w:val="22"/>
        </w:rPr>
        <w:t xml:space="preserve"> Q1 2026 earnings beat; gross margin guidance revised to down YoY; SGPP savings target raised. Stock opened at $87.26.</w:t>
      </w:r>
    </w:p>
    <w:p>
      <w:pPr>
        <w:pStyle w:val="ListBullet"/>
        <w:ind w:left="360" w:hanging="360"/>
      </w:pPr>
      <w:r>
        <w:rPr>
          <w:rFonts w:ascii="Calibri" w:hAnsi="Calibri"/>
          <w:b/>
          <w:color w:val="525866"/>
          <w:sz w:val="22"/>
        </w:rPr>
        <w:t>May 13, 2026:</w:t>
      </w:r>
      <w:r>
        <w:rPr>
          <w:rFonts w:ascii="Calibri" w:hAnsi="Calibri"/>
          <w:color w:val="525866"/>
          <w:sz w:val="22"/>
        </w:rPr>
        <w:t xml:space="preserve"> Annual shareholder meeting — board backed, DEI and independent chairman proposals rejected.</w:t>
      </w:r>
    </w:p>
    <w:p>
      <w:pPr>
        <w:pStyle w:val="ListBullet"/>
        <w:ind w:left="360" w:hanging="360"/>
      </w:pPr>
      <w:r>
        <w:rPr>
          <w:rFonts w:ascii="Calibri" w:hAnsi="Calibri"/>
          <w:b/>
          <w:color w:val="525866"/>
          <w:sz w:val="22"/>
        </w:rPr>
        <w:t>June 3, 2026:</w:t>
      </w:r>
      <w:r>
        <w:rPr>
          <w:rFonts w:ascii="Calibri" w:hAnsi="Calibri"/>
          <w:color w:val="525866"/>
          <w:sz w:val="22"/>
        </w:rPr>
        <w:t xml:space="preserve"> dbAccess Global Consumer Conference (Paris) — COO Shane Grant and EVP John Faucher participated; management flagged North America category deceleration beginning early May 2026. Stock dipped to $84.87 on June 3.</w:t>
      </w:r>
    </w:p>
    <w:p>
      <w:pPr>
        <w:pStyle w:val="ListBullet"/>
        <w:ind w:left="360" w:hanging="360"/>
      </w:pPr>
      <w:r>
        <w:rPr>
          <w:rFonts w:ascii="Calibri" w:hAnsi="Calibri"/>
          <w:b/>
          <w:color w:val="525866"/>
          <w:sz w:val="22"/>
        </w:rPr>
        <w:t>July 2, 2026:</w:t>
      </w:r>
      <w:r>
        <w:rPr>
          <w:rFonts w:ascii="Calibri" w:hAnsi="Calibri"/>
          <w:color w:val="525866"/>
          <w:sz w:val="22"/>
        </w:rPr>
        <w:t xml:space="preserve"> Stock reached a post-earnings high of $95.13, driven by defensive rotation into consumer staples amid broader market volatility.</w:t>
      </w:r>
    </w:p>
    <w:p>
      <w:pPr>
        <w:pStyle w:val="ListBullet"/>
        <w:ind w:left="360" w:hanging="360"/>
      </w:pPr>
      <w:r>
        <w:rPr>
          <w:rFonts w:ascii="Calibri" w:hAnsi="Calibri"/>
          <w:b/>
          <w:color w:val="525866"/>
          <w:sz w:val="22"/>
        </w:rPr>
        <w:t>July 31, 2026:</w:t>
      </w:r>
      <w:r>
        <w:rPr>
          <w:rFonts w:ascii="Calibri" w:hAnsi="Calibri"/>
          <w:color w:val="525866"/>
          <w:sz w:val="22"/>
        </w:rPr>
        <w:t xml:space="preserve"> Q2 2026 earnings call scheduled (8:30 AM ET). Stock at $91.60.</w:t>
      </w:r>
    </w:p>
    <w:p>
      <w:r>
        <w:rPr>
          <w:rFonts w:ascii="Calibri" w:hAnsi="Calibri"/>
          <w:b/>
          <w:color w:val="525866"/>
          <w:sz w:val="22"/>
        </w:rPr>
        <w:t xml:space="preserve">Valuation Context: </w:t>
      </w:r>
      <w:r>
        <w:rPr>
          <w:rFonts w:ascii="Calibri" w:hAnsi="Calibri"/>
          <w:color w:val="525866"/>
          <w:sz w:val="22"/>
        </w:rPr>
        <w:t>NTM P/E expanded from ~22.3x (6-month ago) to ~23.8x currently, with the 3-month price gain of +8.4% almost entirely multiple-driven (+8.6% multiple expansion vs. flat estimate revisions). This premium valuation leaves the stock vulnerable to any guidance cut or demand disappointment on the Q2 call.</w:t>
      </w:r>
    </w:p>
    <w:p>
      <w:r>
        <w:rPr>
          <w:rFonts w:ascii="Calibri" w:hAnsi="Calibri"/>
          <w:i/>
          <w:color w:val="525866"/>
          <w:sz w:val="22"/>
        </w:rPr>
        <w:t>Source: Stock Price Data (Yahoo Finance); CL Stock Performance Decomposition Data.</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North America category deceleration flagged at the June 3 Deutsche Bank conference</w:t>
      </w:r>
      <w:r>
        <w:rPr>
          <w:rFonts w:ascii="Calibri" w:hAnsi="Calibri"/>
          <w:color w:val="525866"/>
          <w:sz w:val="22"/>
        </w:rPr>
        <w:t>, which adds a new demand risk layer on top of the already-revised gross margin guidance — the Q2 print will be the first hard data point to validate or refute that signal.</w:t>
      </w:r>
    </w:p>
    <w:p>
      <w:pPr>
        <w:pStyle w:val="ListBullet"/>
        <w:ind w:left="360" w:hanging="360"/>
      </w:pPr>
      <w:r>
        <w:rPr>
          <w:rFonts w:ascii="Calibri" w:hAnsi="Calibri"/>
          <w:b/>
          <w:color w:val="525866"/>
          <w:sz w:val="22"/>
        </w:rPr>
        <w:t>June 3, 2026 — dbAccess Global Consumer Conference (Paris):</w:t>
      </w:r>
      <w:r>
        <w:rPr>
          <w:rFonts w:ascii="Calibri" w:hAnsi="Calibri"/>
          <w:color w:val="525866"/>
          <w:sz w:val="22"/>
        </w:rPr>
        <w:t xml:space="preserve"> COO Shane Grant and EVP John Faucher participated in a fireside chat. Management flagged that </w:t>
      </w:r>
      <w:r>
        <w:rPr>
          <w:rFonts w:ascii="Calibri" w:hAnsi="Calibri"/>
          <w:b/>
          <w:color w:val="525866"/>
          <w:sz w:val="22"/>
        </w:rPr>
        <w:t>U.S. categories showed a marked deceleration beginning early May 2026</w:t>
      </w:r>
      <w:r>
        <w:rPr>
          <w:rFonts w:ascii="Calibri" w:hAnsi="Calibri"/>
          <w:color w:val="525866"/>
          <w:sz w:val="22"/>
        </w:rPr>
        <w:t xml:space="preserve"> (approximately three weeks of data at the time), adding a new demand uncertainty beyond tariff-driven cost pressures. Management indicated U.S. pricing strategy is oriented toward mix management and RGM tools rather than headline price increases given consumer stress. </w:t>
      </w:r>
      <w:r>
        <w:rPr>
          <w:rFonts w:ascii="Calibri" w:hAnsi="Calibri"/>
          <w:b/>
          <w:color w:val="525866"/>
          <w:sz w:val="22"/>
        </w:rPr>
        <w:t>Implication:</w:t>
      </w:r>
      <w:r>
        <w:rPr>
          <w:rFonts w:ascii="Calibri" w:hAnsi="Calibri"/>
          <w:color w:val="525866"/>
          <w:sz w:val="22"/>
        </w:rPr>
        <w:t xml:space="preserve"> This is the most significant post-Q1 development; if the deceleration persisted through June, North America organic sales could disappoint relative to the modest sequential improvement consensus expects.</w:t>
      </w:r>
    </w:p>
    <w:p>
      <w:pPr>
        <w:pStyle w:val="ListBullet"/>
        <w:ind w:left="360" w:hanging="360"/>
      </w:pPr>
      <w:r>
        <w:rPr>
          <w:rFonts w:ascii="Calibri" w:hAnsi="Calibri"/>
          <w:b/>
          <w:color w:val="525866"/>
          <w:sz w:val="22"/>
        </w:rPr>
        <w:t>May 1, 2026 — SGPP Expansion Announced:</w:t>
      </w:r>
      <w:r>
        <w:rPr>
          <w:rFonts w:ascii="Calibri" w:hAnsi="Calibri"/>
          <w:color w:val="525866"/>
          <w:sz w:val="22"/>
        </w:rPr>
        <w:t xml:space="preserve"> Colgate expanded its Strategic Growth and Productivity Program, raising the annualized savings target to </w:t>
      </w:r>
      <w:r>
        <w:rPr>
          <w:rFonts w:ascii="Calibri" w:hAnsi="Calibri"/>
          <w:b/>
          <w:color w:val="525866"/>
          <w:sz w:val="22"/>
        </w:rPr>
        <w:t>$200M–$300M</w:t>
      </w:r>
      <w:r>
        <w:rPr>
          <w:rFonts w:ascii="Calibri" w:hAnsi="Calibri"/>
          <w:color w:val="525866"/>
          <w:sz w:val="22"/>
        </w:rPr>
        <w:t xml:space="preserve"> (from prior range) with the majority of savings expected in 2027–2028. Program end date unchanged at December 31, 2028. </w:t>
      </w:r>
      <w:r>
        <w:rPr>
          <w:rFonts w:ascii="Calibri" w:hAnsi="Calibri"/>
          <w:b/>
          <w:color w:val="525866"/>
          <w:sz w:val="22"/>
        </w:rPr>
        <w:t>Implication:</w:t>
      </w:r>
      <w:r>
        <w:rPr>
          <w:rFonts w:ascii="Calibri" w:hAnsi="Calibri"/>
          <w:color w:val="525866"/>
          <w:sz w:val="22"/>
        </w:rPr>
        <w:t xml:space="preserve"> Positive for long-term margin trajectory; near-term savings limited, but signals management confidence in execution.</w:t>
      </w:r>
    </w:p>
    <w:p>
      <w:pPr>
        <w:pStyle w:val="ListBullet"/>
        <w:ind w:left="360" w:hanging="360"/>
      </w:pPr>
      <w:r>
        <w:rPr>
          <w:rFonts w:ascii="Calibri" w:hAnsi="Calibri"/>
          <w:b/>
          <w:color w:val="525866"/>
          <w:sz w:val="22"/>
        </w:rPr>
        <w:t>May 1, 2026 — Gross Margin Guidance Downgrade:</w:t>
      </w:r>
      <w:r>
        <w:rPr>
          <w:rFonts w:ascii="Calibri" w:hAnsi="Calibri"/>
          <w:color w:val="525866"/>
          <w:sz w:val="22"/>
        </w:rPr>
        <w:t xml:space="preserve"> FY2026 gross profit margin guidance revised to </w:t>
      </w:r>
      <w:r>
        <w:rPr>
          <w:rFonts w:ascii="Calibri" w:hAnsi="Calibri"/>
          <w:b/>
          <w:color w:val="525866"/>
          <w:sz w:val="22"/>
        </w:rPr>
        <w:t>down year-over-year</w:t>
      </w:r>
      <w:r>
        <w:rPr>
          <w:rFonts w:ascii="Calibri" w:hAnsi="Calibri"/>
          <w:color w:val="525866"/>
          <w:sz w:val="22"/>
        </w:rPr>
        <w:t xml:space="preserve"> (from previously expected up), citing ~$300M incremental raw material and logistics headwind. Oil assumed at ~$110/barrel for remainder of year; raw/packaging materials spending expected up &gt;20% YoY; logistics costs up ~10%. </w:t>
      </w:r>
      <w:r>
        <w:rPr>
          <w:rFonts w:ascii="Calibri" w:hAnsi="Calibri"/>
          <w:b/>
          <w:color w:val="525866"/>
          <w:sz w:val="22"/>
        </w:rPr>
        <w:t>Implication:</w:t>
      </w:r>
      <w:r>
        <w:rPr>
          <w:rFonts w:ascii="Calibri" w:hAnsi="Calibri"/>
          <w:color w:val="525866"/>
          <w:sz w:val="22"/>
        </w:rPr>
        <w:t xml:space="preserve"> Already absorbed by estimates, but any further commodity escalation or tariff broadening would be a negative surprise.</w:t>
      </w:r>
    </w:p>
    <w:p>
      <w:pPr>
        <w:pStyle w:val="ListBullet"/>
        <w:ind w:left="360" w:hanging="360"/>
      </w:pPr>
      <w:r>
        <w:rPr>
          <w:rFonts w:ascii="Calibri" w:hAnsi="Calibri"/>
          <w:b/>
          <w:color w:val="525866"/>
          <w:sz w:val="22"/>
        </w:rPr>
        <w:t>May 13, 2026 — Annual Shareholder Meeting:</w:t>
      </w:r>
      <w:r>
        <w:rPr>
          <w:rFonts w:ascii="Calibri" w:hAnsi="Calibri"/>
          <w:color w:val="525866"/>
          <w:sz w:val="22"/>
        </w:rPr>
        <w:t xml:space="preserve"> Board fully backed; DEI proposal and independent chairman proposal both rejected. </w:t>
      </w:r>
      <w:r>
        <w:rPr>
          <w:rFonts w:ascii="Calibri" w:hAnsi="Calibri"/>
          <w:b/>
          <w:color w:val="525866"/>
          <w:sz w:val="22"/>
        </w:rPr>
        <w:t>Implication:</w:t>
      </w:r>
      <w:r>
        <w:rPr>
          <w:rFonts w:ascii="Calibri" w:hAnsi="Calibri"/>
          <w:color w:val="525866"/>
          <w:sz w:val="22"/>
        </w:rPr>
        <w:t xml:space="preserve"> No governance disruption; management continuity confirmed.</w:t>
      </w:r>
    </w:p>
    <w:p>
      <w:pPr>
        <w:pStyle w:val="ListBullet"/>
        <w:ind w:left="360" w:hanging="360"/>
      </w:pPr>
      <w:r>
        <w:rPr>
          <w:rFonts w:ascii="Calibri" w:hAnsi="Calibri"/>
          <w:b/>
          <w:color w:val="525866"/>
          <w:sz w:val="22"/>
        </w:rPr>
        <w:t>April 9, 2026 — Chief Legal Officer Succession Plan Announced:</w:t>
      </w:r>
      <w:r>
        <w:rPr>
          <w:rFonts w:ascii="Calibri" w:hAnsi="Calibri"/>
          <w:color w:val="525866"/>
          <w:sz w:val="22"/>
        </w:rPr>
        <w:t xml:space="preserve"> CL filed an 8-K disclosing a CLO succession plan. </w:t>
      </w:r>
      <w:r>
        <w:rPr>
          <w:rFonts w:ascii="Calibri" w:hAnsi="Calibri"/>
          <w:b/>
          <w:color w:val="525866"/>
          <w:sz w:val="22"/>
        </w:rPr>
        <w:t>Implication:</w:t>
      </w:r>
      <w:r>
        <w:rPr>
          <w:rFonts w:ascii="Calibri" w:hAnsi="Calibri"/>
          <w:color w:val="525866"/>
          <w:sz w:val="22"/>
        </w:rPr>
        <w:t xml:space="preserve"> Routine leadership transition; no material business impact expected.</w:t>
      </w:r>
    </w:p>
    <w:p>
      <w:pPr>
        <w:pStyle w:val="ListBullet"/>
        <w:ind w:left="360" w:hanging="360"/>
      </w:pPr>
      <w:r>
        <w:rPr>
          <w:rFonts w:ascii="Calibri" w:hAnsi="Calibri"/>
          <w:b/>
          <w:color w:val="525866"/>
          <w:sz w:val="22"/>
        </w:rPr>
        <w:t>Ongoing — Tariff Environment:</w:t>
      </w:r>
      <w:r>
        <w:rPr>
          <w:rFonts w:ascii="Calibri" w:hAnsi="Calibri"/>
          <w:color w:val="525866"/>
          <w:sz w:val="22"/>
        </w:rPr>
        <w:t xml:space="preserve"> New U.S. tariffs of 10–12.5% on imports from 60+ trading partners took effect July 24–25, 2026 (replacing the Supreme Court-struck emergency tariffs). North America bears the majority of CL’s tariff costs. </w:t>
      </w:r>
      <w:r>
        <w:rPr>
          <w:rFonts w:ascii="Calibri" w:hAnsi="Calibri"/>
          <w:b/>
          <w:color w:val="525866"/>
          <w:sz w:val="22"/>
        </w:rPr>
        <w:t>Implication:</w:t>
      </w:r>
      <w:r>
        <w:rPr>
          <w:rFonts w:ascii="Calibri" w:hAnsi="Calibri"/>
          <w:color w:val="525866"/>
          <w:sz w:val="22"/>
        </w:rPr>
        <w:t xml:space="preserve"> Continued gross margin pressure in North America; management’s ability to offset through RGM and SGPP savings will be a key focus on the Q2 call.</w:t>
      </w:r>
    </w:p>
    <w:p>
      <w:pPr>
        <w:pStyle w:val="ListBullet"/>
        <w:ind w:left="360" w:hanging="360"/>
      </w:pPr>
      <w:r>
        <w:rPr>
          <w:rFonts w:ascii="Calibri" w:hAnsi="Calibri"/>
          <w:b/>
          <w:color w:val="525866"/>
          <w:sz w:val="22"/>
        </w:rPr>
        <w:t>July 29, 2026 — P&amp;G Q4 FY2026 Earnings (Peer Read-Through):</w:t>
      </w:r>
      <w:r>
        <w:rPr>
          <w:rFonts w:ascii="Calibri" w:hAnsi="Calibri"/>
          <w:color w:val="525866"/>
          <w:sz w:val="22"/>
        </w:rPr>
        <w:t xml:space="preserve"> P&amp;G reported flat organic sales vs. Street estimate of +1.85%; all five divisions missed consensus. Management cited a “very challenging geopolitical and economic environment.” FY2027 guidance midpoints were near-inline on EPS ($7.00 vs. Street $7.02) and organic sales (+2% vs. Street +2.44%). </w:t>
      </w:r>
      <w:r>
        <w:rPr>
          <w:rFonts w:ascii="Calibri" w:hAnsi="Calibri"/>
          <w:b/>
          <w:color w:val="525866"/>
          <w:sz w:val="22"/>
        </w:rPr>
        <w:t>Implication:</w:t>
      </w:r>
      <w:r>
        <w:rPr>
          <w:rFonts w:ascii="Calibri" w:hAnsi="Calibri"/>
          <w:color w:val="525866"/>
          <w:sz w:val="22"/>
        </w:rPr>
        <w:t xml:space="preserve"> Negative read-through for CL’s North America and global demand environment; P&amp;G’s oral care segment declined mid-single digits in North America and Greater China, directly relevant to CL’s core category.</w:t>
      </w:r>
    </w:p>
    <w:p>
      <w:pPr>
        <w:pStyle w:val="ListBullet"/>
        <w:ind w:left="360" w:hanging="360"/>
      </w:pPr>
      <w:r>
        <w:rPr>
          <w:rFonts w:ascii="Calibri" w:hAnsi="Calibri"/>
          <w:b/>
          <w:color w:val="525866"/>
          <w:sz w:val="22"/>
        </w:rPr>
        <w:t>July 28, 2026 — Unilever H1 2026 Results (Peer Read-Through):</w:t>
      </w:r>
      <w:r>
        <w:rPr>
          <w:rFonts w:ascii="Calibri" w:hAnsi="Calibri"/>
          <w:color w:val="525866"/>
          <w:sz w:val="22"/>
        </w:rPr>
        <w:t xml:space="preserve"> Unilever reported Q2 organic sales growth of +5.8%, beating Street expectations of +4.15%. Full-year guidance upgraded to within 4–6% range. </w:t>
      </w:r>
      <w:r>
        <w:rPr>
          <w:rFonts w:ascii="Calibri" w:hAnsi="Calibri"/>
          <w:b/>
          <w:color w:val="525866"/>
          <w:sz w:val="22"/>
        </w:rPr>
        <w:t>Implication:</w:t>
      </w:r>
      <w:r>
        <w:rPr>
          <w:rFonts w:ascii="Calibri" w:hAnsi="Calibri"/>
          <w:color w:val="525866"/>
          <w:sz w:val="22"/>
        </w:rPr>
        <w:t xml:space="preserve"> Positive for emerging markets demand (India, Brazil, Indonesia all strong); Unilever flagged intensifying oral care competition and plans to increase investment in H2, a potential headwind for CL’s oral care share.</w:t>
      </w:r>
    </w:p>
    <w:p>
      <w:pPr>
        <w:pStyle w:val="ListBullet"/>
        <w:ind w:left="360" w:hanging="360"/>
      </w:pPr>
      <w:r>
        <w:rPr>
          <w:rFonts w:ascii="Calibri" w:hAnsi="Calibri"/>
          <w:b/>
          <w:color w:val="525866"/>
          <w:sz w:val="22"/>
        </w:rPr>
        <w:t>July 28, 2026 — Mondelez Q2 2026 Results (Peer Read-Through):</w:t>
      </w:r>
      <w:r>
        <w:rPr>
          <w:rFonts w:ascii="Calibri" w:hAnsi="Calibri"/>
          <w:color w:val="525866"/>
          <w:sz w:val="22"/>
        </w:rPr>
        <w:t xml:space="preserve"> MDLZ reported organic sales growth of +2.2% vs. Street estimate of +0.9%; EPS of $0.73 vs. $0.68 estimate. Raised full-year top-line guidance to “at least 2%.” </w:t>
      </w:r>
      <w:r>
        <w:rPr>
          <w:rFonts w:ascii="Calibri" w:hAnsi="Calibri"/>
          <w:b/>
          <w:color w:val="525866"/>
          <w:sz w:val="22"/>
        </w:rPr>
        <w:t>Implication:</w:t>
      </w:r>
      <w:r>
        <w:rPr>
          <w:rFonts w:ascii="Calibri" w:hAnsi="Calibri"/>
          <w:color w:val="525866"/>
          <w:sz w:val="22"/>
        </w:rPr>
        <w:t xml:space="preserve"> Positive for emerging markets and North America consumer demand; bifurcated consumer (value and premium both doing well) is consistent with CL’s portfolio positioning.</w:t>
      </w:r>
    </w:p>
    <w:p>
      <w:r>
        <w:br w:type="page"/>
      </w:r>
    </w:p>
    <w:p>
      <w:pPr>
        <w:pStyle w:val="Heading1"/>
        <w:pBdr>
          <w:bottom w:val="single" w:sz="4" w:space="1" w:color="FB9120"/>
        </w:pBdr>
      </w:pPr>
      <w:r>
        <w:rPr>
          <w:rFonts w:ascii="Calibri" w:hAnsi="Calibri"/>
          <w:b/>
          <w:color w:val="3B4259"/>
          <w:sz w:val="40"/>
        </w:rPr>
        <w:t>7. Peer Commentary Read-Throughs</w:t>
      </w:r>
    </w:p>
    <w:p>
      <w:r>
        <w:rPr>
          <w:rFonts w:ascii="Calibri" w:hAnsi="Calibri"/>
          <w:b/>
          <w:color w:val="525866"/>
          <w:sz w:val="22"/>
        </w:rPr>
        <w:t xml:space="preserve">Methodology Note: </w:t>
      </w:r>
      <w:r>
        <w:rPr>
          <w:rFonts w:ascii="Calibri" w:hAnsi="Calibri"/>
          <w:color w:val="525866"/>
          <w:sz w:val="22"/>
        </w:rPr>
        <w:t xml:space="preserve">This section includes only peer commentary published within the last 60 days (on or after May 30, 2026) that speaks to the </w:t>
      </w:r>
      <w:r>
        <w:rPr>
          <w:rFonts w:ascii="Calibri" w:hAnsi="Calibri"/>
          <w:b/>
          <w:color w:val="525866"/>
          <w:sz w:val="22"/>
        </w:rPr>
        <w:t>current or future reporting period</w:t>
      </w:r>
      <w:r>
        <w:rPr>
          <w:rFonts w:ascii="Calibri" w:hAnsi="Calibri"/>
          <w:color w:val="525866"/>
          <w:sz w:val="22"/>
        </w:rPr>
        <w:t xml:space="preserve"> (i.e., Q2 2026 or beyond). Backward-looking commentary about peers’ own completed quarters is excluded unless it is directly tied to a forward-looking outlook statement. Three qualifying peers reported in the last 60 days: Procter &amp; Gamble (July 29), Unilever (July 28), and Mondelez (July 28).</w:t>
      </w:r>
    </w:p>
    <w:p>
      <w:r>
        <w:rPr>
          <w:rFonts w:ascii="Calibri" w:hAnsi="Calibri"/>
          <w:b/>
          <w:color w:val="525866"/>
          <w:sz w:val="22"/>
        </w:rPr>
        <w:t xml:space="preserve">Key Takeaway: </w:t>
      </w:r>
      <w:r>
        <w:rPr>
          <w:rFonts w:ascii="Calibri" w:hAnsi="Calibri"/>
          <w:color w:val="525866"/>
          <w:sz w:val="22"/>
        </w:rPr>
        <w:t xml:space="preserve">Peer commentary is </w:t>
      </w:r>
      <w:r>
        <w:rPr>
          <w:rFonts w:ascii="Calibri" w:hAnsi="Calibri"/>
          <w:b/>
          <w:color w:val="525866"/>
          <w:sz w:val="22"/>
        </w:rPr>
        <w:t>mixed but net cautious for CL</w:t>
      </w:r>
      <w:r>
        <w:rPr>
          <w:rFonts w:ascii="Calibri" w:hAnsi="Calibri"/>
          <w:color w:val="525866"/>
          <w:sz w:val="22"/>
        </w:rPr>
        <w:t xml:space="preserve">: P&amp;G’s flat organic sales and oral care volume declines in North America are a direct negative read-through, while Unilever’s strong emerging markets and Mondelez’s North America beat provide partial offsets. The common thread across all three peers is </w:t>
      </w:r>
      <w:r>
        <w:rPr>
          <w:rFonts w:ascii="Calibri" w:hAnsi="Calibri"/>
          <w:b/>
          <w:color w:val="525866"/>
          <w:sz w:val="22"/>
        </w:rPr>
        <w:t>elevated input cost pressure, bifurcated consumer demand, and intensifying competition in oral care</w:t>
      </w:r>
      <w:r>
        <w:rPr>
          <w:rFonts w:ascii="Calibri" w:hAnsi="Calibri"/>
          <w:color w:val="525866"/>
          <w:sz w:val="22"/>
        </w:rPr>
        <w:t xml:space="preserve"> — all directly relevant to CL’s Q2 setup.</w:t>
      </w:r>
    </w:p>
    <w:p>
      <w:pPr>
        <w:pStyle w:val="Heading2"/>
      </w:pPr>
      <w:r>
        <w:rPr>
          <w:rFonts w:ascii="Calibri" w:hAnsi="Calibri"/>
          <w:b/>
          <w:color w:val="3B4259"/>
          <w:sz w:val="28"/>
        </w:rPr>
        <w:t>Procter &amp; Gamble (PG) — Q4 FY2026 Earnings (Reported July 29, 2026)</w:t>
      </w:r>
    </w:p>
    <w:p>
      <w:r>
        <w:rPr>
          <w:rFonts w:ascii="Calibri" w:hAnsi="Calibri"/>
          <w:b/>
          <w:color w:val="525866"/>
          <w:sz w:val="22"/>
        </w:rPr>
        <w:t xml:space="preserve">Relevance to CL: </w:t>
      </w:r>
      <w:r>
        <w:rPr>
          <w:rFonts w:ascii="Calibri" w:hAnsi="Calibri"/>
          <w:color w:val="525866"/>
          <w:sz w:val="22"/>
        </w:rPr>
        <w:t>HIGH — P&amp;G is CL’s most direct competitor in oral care (Crest, Oral-B), personal care, and home care globally.</w:t>
      </w:r>
    </w:p>
    <w:p>
      <w:pPr>
        <w:pStyle w:val="ListBullet"/>
        <w:ind w:left="360" w:hanging="360"/>
      </w:pPr>
      <w:r>
        <w:rPr>
          <w:rFonts w:ascii="Calibri" w:hAnsi="Calibri"/>
          <w:b/>
          <w:color w:val="525866"/>
          <w:sz w:val="22"/>
        </w:rPr>
        <w:t>Oral Care Volume Decline in North America and Greater China:</w:t>
      </w:r>
      <w:r>
        <w:rPr>
          <w:rFonts w:ascii="Calibri" w:hAnsi="Calibri"/>
          <w:color w:val="525866"/>
          <w:sz w:val="22"/>
        </w:rPr>
        <w:t xml:space="preserve"> P&amp;G reported that </w:t>
      </w:r>
      <w:r>
        <w:rPr>
          <w:rFonts w:ascii="Calibri" w:hAnsi="Calibri"/>
          <w:b/>
          <w:color w:val="525866"/>
          <w:sz w:val="22"/>
        </w:rPr>
        <w:t>oral care organic sales decreased mid-single digits driven by a volume decline, led by North America and Greater China</w:t>
      </w:r>
      <w:r>
        <w:rPr>
          <w:rFonts w:ascii="Calibri" w:hAnsi="Calibri"/>
          <w:color w:val="525866"/>
          <w:sz w:val="22"/>
        </w:rPr>
        <w:t>. This is a direct negative read-through for CL’s core category in its two most important developed markets. If the category is contracting at P&amp;G, CL’s North America oral care volumes are likely under similar pressure.</w:t>
      </w:r>
    </w:p>
    <w:p>
      <w:pPr>
        <w:pStyle w:val="ListBullet"/>
        <w:ind w:left="360" w:hanging="360"/>
      </w:pPr>
      <w:r>
        <w:rPr>
          <w:rFonts w:ascii="Calibri" w:hAnsi="Calibri"/>
          <w:b/>
          <w:color w:val="525866"/>
          <w:sz w:val="22"/>
        </w:rPr>
        <w:t>Home Care Volume Decline in North America:</w:t>
      </w:r>
      <w:r>
        <w:rPr>
          <w:rFonts w:ascii="Calibri" w:hAnsi="Calibri"/>
          <w:color w:val="525866"/>
          <w:sz w:val="22"/>
        </w:rPr>
        <w:t xml:space="preserve"> P&amp;G’s home care organic sales decreased low single digits due to volume decline, primarily in North America. CL’s Fabuloso and Suavitel brands compete in this space; management had highlighted Home Care as an “underleveraged near-term growth engine” for North America, making this read-through particularly relevant.</w:t>
      </w:r>
    </w:p>
    <w:p>
      <w:pPr>
        <w:pStyle w:val="ListBullet"/>
        <w:ind w:left="360" w:hanging="360"/>
      </w:pPr>
      <w:r>
        <w:rPr>
          <w:rFonts w:ascii="Calibri" w:hAnsi="Calibri"/>
          <w:b/>
          <w:color w:val="525866"/>
          <w:sz w:val="22"/>
        </w:rPr>
        <w:t>FY2027 Guidance — Significant Cost Headwinds:</w:t>
      </w:r>
      <w:r>
        <w:rPr>
          <w:rFonts w:ascii="Calibri" w:hAnsi="Calibri"/>
          <w:color w:val="525866"/>
          <w:sz w:val="22"/>
        </w:rPr>
        <w:t xml:space="preserve"> P&amp;G guided for FY2027 core EPS of $6.89–$7.11 (midpoint $7.00, +1.5% YoY) and organic sales growth of 1–3%, with a </w:t>
      </w:r>
      <w:r>
        <w:rPr>
          <w:rFonts w:ascii="Calibri" w:hAnsi="Calibri"/>
          <w:b/>
          <w:color w:val="525866"/>
          <w:sz w:val="22"/>
        </w:rPr>
        <w:t>~$1 billion after-tax headwind from higher raw materials, energy, and transportation costs</w:t>
      </w:r>
      <w:r>
        <w:rPr>
          <w:rFonts w:ascii="Calibri" w:hAnsi="Calibri"/>
          <w:color w:val="525866"/>
          <w:sz w:val="22"/>
        </w:rPr>
        <w:t xml:space="preserve"> (equivalent to $0.56/share or 8% of core EPS). P&amp;G’s CFO noted the cost dynamic will cause Q1 FY2027 EPS to be “down 5% or more versus prior year.” </w:t>
      </w:r>
      <w:r>
        <w:rPr>
          <w:rFonts w:ascii="Calibri" w:hAnsi="Calibri"/>
          <w:b/>
          <w:color w:val="525866"/>
          <w:sz w:val="22"/>
        </w:rPr>
        <w:t>Read-through:</w:t>
      </w:r>
      <w:r>
        <w:rPr>
          <w:rFonts w:ascii="Calibri" w:hAnsi="Calibri"/>
          <w:color w:val="525866"/>
          <w:sz w:val="22"/>
        </w:rPr>
        <w:t xml:space="preserve"> Confirms the input cost environment remains severe for the entire sector; CL’s own ~$300M incremental headwind flagged on the Q1 call is consistent with P&amp;G’s experience.</w:t>
      </w:r>
    </w:p>
    <w:p>
      <w:pPr>
        <w:pStyle w:val="ListBullet"/>
        <w:ind w:left="360" w:hanging="360"/>
      </w:pPr>
      <w:r>
        <w:rPr>
          <w:rFonts w:ascii="Calibri" w:hAnsi="Calibri"/>
          <w:b/>
          <w:color w:val="525866"/>
          <w:sz w:val="22"/>
        </w:rPr>
        <w:t>Consumer Behavior — Value-Seeking Intensifying:</w:t>
      </w:r>
      <w:r>
        <w:rPr>
          <w:rFonts w:ascii="Calibri" w:hAnsi="Calibri"/>
          <w:color w:val="525866"/>
          <w:sz w:val="22"/>
        </w:rPr>
        <w:t xml:space="preserve"> P&amp;G’s CEO noted consumers are becoming “much more discerning” on value, requiring “very noticeable” product performance. The “more pressured consumer” is seeking smaller pack sizes and is “affected by promotion patterns.” </w:t>
      </w:r>
      <w:r>
        <w:rPr>
          <w:rFonts w:ascii="Calibri" w:hAnsi="Calibri"/>
          <w:b/>
          <w:color w:val="525866"/>
          <w:sz w:val="22"/>
        </w:rPr>
        <w:t>Read-through:</w:t>
      </w:r>
      <w:r>
        <w:rPr>
          <w:rFonts w:ascii="Calibri" w:hAnsi="Calibri"/>
          <w:color w:val="525866"/>
          <w:sz w:val="22"/>
        </w:rPr>
        <w:t xml:space="preserve"> Consistent with CL management’s own commentary on a K-shaped economy; validates CL’s RGM and price pack architecture strategy but also signals that promotional intensity may need to increase.</w:t>
      </w:r>
    </w:p>
    <w:p>
      <w:pPr>
        <w:pStyle w:val="ListBullet"/>
        <w:ind w:left="360" w:hanging="360"/>
      </w:pPr>
      <w:r>
        <w:rPr>
          <w:rFonts w:ascii="Calibri" w:hAnsi="Calibri"/>
          <w:b/>
          <w:color w:val="525866"/>
          <w:sz w:val="22"/>
        </w:rPr>
        <w:t>North America Strategy Reset:</w:t>
      </w:r>
      <w:r>
        <w:rPr>
          <w:rFonts w:ascii="Calibri" w:hAnsi="Calibri"/>
          <w:color w:val="525866"/>
          <w:sz w:val="22"/>
        </w:rPr>
        <w:t xml:space="preserve"> P&amp;G is “modifying and adjusting innovation plans to ensure they’re capable of lifting category growth rates,” with many interventions planned for the front half of FY2027 (July–December 2026). </w:t>
      </w:r>
      <w:r>
        <w:rPr>
          <w:rFonts w:ascii="Calibri" w:hAnsi="Calibri"/>
          <w:b/>
          <w:color w:val="525866"/>
          <w:sz w:val="22"/>
        </w:rPr>
        <w:t>Read-through:</w:t>
      </w:r>
      <w:r>
        <w:rPr>
          <w:rFonts w:ascii="Calibri" w:hAnsi="Calibri"/>
          <w:color w:val="525866"/>
          <w:sz w:val="22"/>
        </w:rPr>
        <w:t xml:space="preserve"> P&amp;G is about to step up competitive investment in North America oral care and home care in H2 2026, which could intensify the competitive environment for CL’s own North America recovery plan.</w:t>
      </w:r>
    </w:p>
    <w:p>
      <w:pPr>
        <w:pStyle w:val="Heading2"/>
      </w:pPr>
      <w:r>
        <w:rPr>
          <w:rFonts w:ascii="Calibri" w:hAnsi="Calibri"/>
          <w:b/>
          <w:color w:val="3B4259"/>
          <w:sz w:val="28"/>
        </w:rPr>
        <w:t>Unilever (ULVR) — H1 2026 Results (Reported July 28, 2026)</w:t>
      </w:r>
    </w:p>
    <w:p>
      <w:r>
        <w:rPr>
          <w:rFonts w:ascii="Calibri" w:hAnsi="Calibri"/>
          <w:b/>
          <w:color w:val="525866"/>
          <w:sz w:val="22"/>
        </w:rPr>
        <w:t xml:space="preserve">Relevance to CL: </w:t>
      </w:r>
      <w:r>
        <w:rPr>
          <w:rFonts w:ascii="Calibri" w:hAnsi="Calibri"/>
          <w:color w:val="525866"/>
          <w:sz w:val="22"/>
        </w:rPr>
        <w:t>HIGH — Unilever competes with CL in oral care, personal care, and home care across emerging markets and Europe.</w:t>
      </w:r>
    </w:p>
    <w:p>
      <w:pPr>
        <w:pStyle w:val="ListBullet"/>
        <w:ind w:left="360" w:hanging="360"/>
      </w:pPr>
      <w:r>
        <w:rPr>
          <w:rFonts w:ascii="Calibri" w:hAnsi="Calibri"/>
          <w:b/>
          <w:color w:val="525866"/>
          <w:sz w:val="22"/>
        </w:rPr>
        <w:t>Oral Care — Intensifying Competition:</w:t>
      </w:r>
      <w:r>
        <w:rPr>
          <w:rFonts w:ascii="Calibri" w:hAnsi="Calibri"/>
          <w:color w:val="525866"/>
          <w:sz w:val="22"/>
        </w:rPr>
        <w:t xml:space="preserve"> Unilever stated its oral care business grew only low single digits in H1 2026, a performance with which management is “not happy,” citing a “significant increase in competition” and announcing “plans to really increase performance in the second half.” </w:t>
      </w:r>
      <w:r>
        <w:rPr>
          <w:rFonts w:ascii="Calibri" w:hAnsi="Calibri"/>
          <w:b/>
          <w:color w:val="525866"/>
          <w:sz w:val="22"/>
        </w:rPr>
        <w:t>Read-through:</w:t>
      </w:r>
      <w:r>
        <w:rPr>
          <w:rFonts w:ascii="Calibri" w:hAnsi="Calibri"/>
          <w:color w:val="525866"/>
          <w:sz w:val="22"/>
        </w:rPr>
        <w:t xml:space="preserve"> Unilever is about to increase investment and competitive intensity in oral care in H2 2026, directly challenging CL’s core category in markets where both companies compete.</w:t>
      </w:r>
    </w:p>
    <w:p>
      <w:pPr>
        <w:pStyle w:val="ListBullet"/>
        <w:ind w:left="360" w:hanging="360"/>
      </w:pPr>
      <w:r>
        <w:rPr>
          <w:rFonts w:ascii="Calibri" w:hAnsi="Calibri"/>
          <w:b/>
          <w:color w:val="525866"/>
          <w:sz w:val="22"/>
        </w:rPr>
        <w:t>Emerging Markets — Strong Volume-Led Growth:</w:t>
      </w:r>
      <w:r>
        <w:rPr>
          <w:rFonts w:ascii="Calibri" w:hAnsi="Calibri"/>
          <w:color w:val="525866"/>
          <w:sz w:val="22"/>
        </w:rPr>
        <w:t xml:space="preserve"> Unilever reported strong volume-led growth in India, Brazil, and Indonesia, with the company expecting “strong volume-led growth” to continue in emerging markets for the full year. India is expected to be a “high single-digit growth market.” </w:t>
      </w:r>
      <w:r>
        <w:rPr>
          <w:rFonts w:ascii="Calibri" w:hAnsi="Calibri"/>
          <w:b/>
          <w:color w:val="525866"/>
          <w:sz w:val="22"/>
        </w:rPr>
        <w:t>Read-through:</w:t>
      </w:r>
      <w:r>
        <w:rPr>
          <w:rFonts w:ascii="Calibri" w:hAnsi="Calibri"/>
          <w:color w:val="525866"/>
          <w:sz w:val="22"/>
        </w:rPr>
        <w:t xml:space="preserve"> Positive for CL’s emerging markets outlook; validates management’s expectation that “emerging markets will continue to drive growth for the balance of the year.”</w:t>
      </w:r>
    </w:p>
    <w:p>
      <w:pPr>
        <w:pStyle w:val="ListBullet"/>
        <w:ind w:left="360" w:hanging="360"/>
      </w:pPr>
      <w:r>
        <w:rPr>
          <w:rFonts w:ascii="Calibri" w:hAnsi="Calibri"/>
          <w:b/>
          <w:color w:val="525866"/>
          <w:sz w:val="22"/>
        </w:rPr>
        <w:t>Input Costs — ~€850M Full-Year Commodity Inflation:</w:t>
      </w:r>
      <w:r>
        <w:rPr>
          <w:rFonts w:ascii="Calibri" w:hAnsi="Calibri"/>
          <w:color w:val="525866"/>
          <w:sz w:val="22"/>
        </w:rPr>
        <w:t xml:space="preserve"> Unilever guided for ~€850M total commodity inflation for FY2026, with ~€550M in H2, concentrated 70% in home care and emerging markets. Key commodities: crude, vegetable oils (palm, SBO), packaging, energy. </w:t>
      </w:r>
      <w:r>
        <w:rPr>
          <w:rFonts w:ascii="Calibri" w:hAnsi="Calibri"/>
          <w:b/>
          <w:color w:val="525866"/>
          <w:sz w:val="22"/>
        </w:rPr>
        <w:t>Read-through:</w:t>
      </w:r>
      <w:r>
        <w:rPr>
          <w:rFonts w:ascii="Calibri" w:hAnsi="Calibri"/>
          <w:color w:val="525866"/>
          <w:sz w:val="22"/>
        </w:rPr>
        <w:t xml:space="preserve"> Confirms the commodity cost environment is severe and back-half weighted; CL faces similar exposures in home care and emerging markets.</w:t>
      </w:r>
    </w:p>
    <w:p>
      <w:pPr>
        <w:pStyle w:val="ListBullet"/>
        <w:ind w:left="360" w:hanging="360"/>
      </w:pPr>
      <w:r>
        <w:rPr>
          <w:rFonts w:ascii="Calibri" w:hAnsi="Calibri"/>
          <w:b/>
          <w:color w:val="525866"/>
          <w:sz w:val="22"/>
        </w:rPr>
        <w:t>Brazil Tax Reform Risk — Q4 2026 Disruption:</w:t>
      </w:r>
      <w:r>
        <w:rPr>
          <w:rFonts w:ascii="Calibri" w:hAnsi="Calibri"/>
          <w:color w:val="525866"/>
          <w:sz w:val="22"/>
        </w:rPr>
        <w:t xml:space="preserve"> Unilever flagged that Brazil’s tax reform (dual VAT transition beginning 2027) could lead to “temporary retail stock reductions in Q4 2026,” primarily affecting the HPC business. </w:t>
      </w:r>
      <w:r>
        <w:rPr>
          <w:rFonts w:ascii="Calibri" w:hAnsi="Calibri"/>
          <w:b/>
          <w:color w:val="525866"/>
          <w:sz w:val="22"/>
        </w:rPr>
        <w:t>Read-through:</w:t>
      </w:r>
      <w:r>
        <w:rPr>
          <w:rFonts w:ascii="Calibri" w:hAnsi="Calibri"/>
          <w:color w:val="525866"/>
          <w:sz w:val="22"/>
        </w:rPr>
        <w:t xml:space="preserve"> CL has significant Latin America exposure (one of its strongest-performing divisions); this is a potential Q4 headwind to watch, though not a Q2 issue.</w:t>
      </w:r>
    </w:p>
    <w:p>
      <w:pPr>
        <w:pStyle w:val="ListBullet"/>
        <w:ind w:left="360" w:hanging="360"/>
      </w:pPr>
      <w:r>
        <w:rPr>
          <w:rFonts w:ascii="Calibri" w:hAnsi="Calibri"/>
          <w:b/>
          <w:color w:val="525866"/>
          <w:sz w:val="22"/>
        </w:rPr>
        <w:t>North America — Foods Weakness as Outlier:</w:t>
      </w:r>
      <w:r>
        <w:rPr>
          <w:rFonts w:ascii="Calibri" w:hAnsi="Calibri"/>
          <w:color w:val="525866"/>
          <w:sz w:val="22"/>
        </w:rPr>
        <w:t xml:space="preserve"> Unilever described its Q2 North America foods performance (condiments) as “disappointing” and an “outlier,” with plans for targeted innovation and execution improvements in H2. Personal care and beauty continued to outperform. </w:t>
      </w:r>
      <w:r>
        <w:rPr>
          <w:rFonts w:ascii="Calibri" w:hAnsi="Calibri"/>
          <w:b/>
          <w:color w:val="525866"/>
          <w:sz w:val="22"/>
        </w:rPr>
        <w:t>Read-through:</w:t>
      </w:r>
      <w:r>
        <w:rPr>
          <w:rFonts w:ascii="Calibri" w:hAnsi="Calibri"/>
          <w:color w:val="525866"/>
          <w:sz w:val="22"/>
        </w:rPr>
        <w:t xml:space="preserve"> Mixed for CL; personal care strength is positive, but the broader North America consumer environment remains soft.</w:t>
      </w:r>
    </w:p>
    <w:p>
      <w:pPr>
        <w:pStyle w:val="ListBullet"/>
        <w:ind w:left="360" w:hanging="360"/>
      </w:pPr>
      <w:r>
        <w:rPr>
          <w:rFonts w:ascii="Calibri" w:hAnsi="Calibri"/>
          <w:b/>
          <w:color w:val="525866"/>
          <w:sz w:val="22"/>
        </w:rPr>
        <w:t>Full-Year Guidance Upgraded:</w:t>
      </w:r>
      <w:r>
        <w:rPr>
          <w:rFonts w:ascii="Calibri" w:hAnsi="Calibri"/>
          <w:color w:val="525866"/>
          <w:sz w:val="22"/>
        </w:rPr>
        <w:t xml:space="preserve"> Unilever raised its full-year underlying sales growth guidance to within its multi-year 4–6% range, with ~3% volume growth for the full year and modest margin improvement. </w:t>
      </w:r>
      <w:r>
        <w:rPr>
          <w:rFonts w:ascii="Calibri" w:hAnsi="Calibri"/>
          <w:b/>
          <w:color w:val="525866"/>
          <w:sz w:val="22"/>
        </w:rPr>
        <w:t>Read-through:</w:t>
      </w:r>
      <w:r>
        <w:rPr>
          <w:rFonts w:ascii="Calibri" w:hAnsi="Calibri"/>
          <w:color w:val="525866"/>
          <w:sz w:val="22"/>
        </w:rPr>
        <w:t xml:space="preserve"> Positive for the sector; Unilever’s stronger execution and higher growth rate reflects its more diversified portfolio and higher emerging markets weighting, but the direction of travel is encouraging for CL.</w:t>
      </w:r>
    </w:p>
    <w:p>
      <w:pPr>
        <w:pStyle w:val="Heading2"/>
      </w:pPr>
      <w:r>
        <w:rPr>
          <w:rFonts w:ascii="Calibri" w:hAnsi="Calibri"/>
          <w:b/>
          <w:color w:val="3B4259"/>
          <w:sz w:val="28"/>
        </w:rPr>
        <w:t>Mondelez International (MDLZ) — Q2 2026 Earnings (Reported July 28, 2026)</w:t>
      </w:r>
    </w:p>
    <w:p>
      <w:r>
        <w:rPr>
          <w:rFonts w:ascii="Calibri" w:hAnsi="Calibri"/>
          <w:b/>
          <w:color w:val="525866"/>
          <w:sz w:val="22"/>
        </w:rPr>
        <w:t xml:space="preserve">Relevance to CL: </w:t>
      </w:r>
      <w:r>
        <w:rPr>
          <w:rFonts w:ascii="Calibri" w:hAnsi="Calibri"/>
          <w:color w:val="525866"/>
          <w:sz w:val="22"/>
        </w:rPr>
        <w:t>MODERATE — Mondelez competes in different product categories (snacks, chocolate, biscuits) but shares significant geographic overlap with CL in emerging markets and North America, and faces similar macro/consumer dynamics.</w:t>
      </w:r>
    </w:p>
    <w:p>
      <w:pPr>
        <w:pStyle w:val="ListBullet"/>
        <w:ind w:left="360" w:hanging="360"/>
      </w:pPr>
      <w:r>
        <w:rPr>
          <w:rFonts w:ascii="Calibri" w:hAnsi="Calibri"/>
          <w:b/>
          <w:color w:val="525866"/>
          <w:sz w:val="22"/>
        </w:rPr>
        <w:t>North America Consumer — Bifurcated but Resilient:</w:t>
      </w:r>
      <w:r>
        <w:rPr>
          <w:rFonts w:ascii="Calibri" w:hAnsi="Calibri"/>
          <w:color w:val="525866"/>
          <w:sz w:val="22"/>
        </w:rPr>
        <w:t xml:space="preserve"> Mondelez described “case-shaped growth” in North America, with consumers simultaneously trading down to value formats and channels while premium options also perform well. Despite purchasing power being up, consumers “remain very concerned about affordability, economic outlook and job security.” Management expects a “very strong second half in North America” driven by disciplined promotional execution, innovation, and price pack architecture. </w:t>
      </w:r>
      <w:r>
        <w:rPr>
          <w:rFonts w:ascii="Calibri" w:hAnsi="Calibri"/>
          <w:b/>
          <w:color w:val="525866"/>
          <w:sz w:val="22"/>
        </w:rPr>
        <w:t>Read-through:</w:t>
      </w:r>
      <w:r>
        <w:rPr>
          <w:rFonts w:ascii="Calibri" w:hAnsi="Calibri"/>
          <w:color w:val="525866"/>
          <w:sz w:val="22"/>
        </w:rPr>
        <w:t xml:space="preserve"> Validates CL’s K-shaped economy framework; the bifurcated consumer dynamic is consistent with CL’s strategy of serving both value and premium consumers. The strong H2 North America outlook from MDLZ is a modest positive signal for category health.</w:t>
      </w:r>
    </w:p>
    <w:p>
      <w:pPr>
        <w:pStyle w:val="ListBullet"/>
        <w:ind w:left="360" w:hanging="360"/>
      </w:pPr>
      <w:r>
        <w:rPr>
          <w:rFonts w:ascii="Calibri" w:hAnsi="Calibri"/>
          <w:b/>
          <w:color w:val="525866"/>
          <w:sz w:val="22"/>
        </w:rPr>
        <w:t>Emerging Markets — Structural Growth Continues:</w:t>
      </w:r>
      <w:r>
        <w:rPr>
          <w:rFonts w:ascii="Calibri" w:hAnsi="Calibri"/>
          <w:color w:val="525866"/>
          <w:sz w:val="22"/>
        </w:rPr>
        <w:t xml:space="preserve"> Mondelez highlighted that consumer confidence in emerging markets is “stable and pretty good,” with India “very strong” and Mexico/Brazil “solid.” The company expects “strong volume-led growth” in emerging markets to continue, driven by distribution expansion and under-penetrated categories. </w:t>
      </w:r>
      <w:r>
        <w:rPr>
          <w:rFonts w:ascii="Calibri" w:hAnsi="Calibri"/>
          <w:b/>
          <w:color w:val="525866"/>
          <w:sz w:val="22"/>
        </w:rPr>
        <w:t>Read-through:</w:t>
      </w:r>
      <w:r>
        <w:rPr>
          <w:rFonts w:ascii="Calibri" w:hAnsi="Calibri"/>
          <w:color w:val="525866"/>
          <w:sz w:val="22"/>
        </w:rPr>
        <w:t xml:space="preserve"> Strongly positive for CL’s Latin America and Asia Pacific divisions, which management has identified as the primary growth engines for the balance of 2026.</w:t>
      </w:r>
    </w:p>
    <w:p>
      <w:pPr>
        <w:pStyle w:val="ListBullet"/>
        <w:ind w:left="360" w:hanging="360"/>
      </w:pPr>
      <w:r>
        <w:rPr>
          <w:rFonts w:ascii="Calibri" w:hAnsi="Calibri"/>
          <w:b/>
          <w:color w:val="525866"/>
          <w:sz w:val="22"/>
        </w:rPr>
        <w:t>Pricing vs. Volume — Volume-Led H2:</w:t>
      </w:r>
      <w:r>
        <w:rPr>
          <w:rFonts w:ascii="Calibri" w:hAnsi="Calibri"/>
          <w:color w:val="525866"/>
          <w:sz w:val="22"/>
        </w:rPr>
        <w:t xml:space="preserve"> Mondelez’s H2 guidance of “at least 2%” organic growth “reflects positive volume mix and modest contribution from pricing.” In emerging markets, “strong volume-led growth” is expected to continue. </w:t>
      </w:r>
      <w:r>
        <w:rPr>
          <w:rFonts w:ascii="Calibri" w:hAnsi="Calibri"/>
          <w:b/>
          <w:color w:val="525866"/>
          <w:sz w:val="22"/>
        </w:rPr>
        <w:t>Read-through:</w:t>
      </w:r>
      <w:r>
        <w:rPr>
          <w:rFonts w:ascii="Calibri" w:hAnsi="Calibri"/>
          <w:color w:val="525866"/>
          <w:sz w:val="22"/>
        </w:rPr>
        <w:t xml:space="preserve"> Consistent with CL’s own strategy of accelerating volume growth; the sector-wide shift from price-led to volume-led growth is a positive signal for category health but requires stronger execution.</w:t>
      </w:r>
    </w:p>
    <w:p>
      <w:pPr>
        <w:pStyle w:val="ListBullet"/>
        <w:ind w:left="360" w:hanging="360"/>
      </w:pPr>
      <w:r>
        <w:rPr>
          <w:rFonts w:ascii="Calibri" w:hAnsi="Calibri"/>
          <w:b/>
          <w:color w:val="525866"/>
          <w:sz w:val="22"/>
        </w:rPr>
        <w:t>Productivity and AI Efficiencies:</w:t>
      </w:r>
      <w:r>
        <w:rPr>
          <w:rFonts w:ascii="Calibri" w:hAnsi="Calibri"/>
          <w:color w:val="525866"/>
          <w:sz w:val="22"/>
        </w:rPr>
        <w:t xml:space="preserve"> Mondelez highlighted “elevated productivity, particularly in supply chain in Europe and the US” and “AI efficiencies that will drive overheads down” as key levers for 2027 earnings. The company stated “earnings for 2027 is going to be strong.” </w:t>
      </w:r>
      <w:r>
        <w:rPr>
          <w:rFonts w:ascii="Calibri" w:hAnsi="Calibri"/>
          <w:b/>
          <w:color w:val="525866"/>
          <w:sz w:val="22"/>
        </w:rPr>
        <w:t>Read-through:</w:t>
      </w:r>
      <w:r>
        <w:rPr>
          <w:rFonts w:ascii="Calibri" w:hAnsi="Calibri"/>
          <w:color w:val="525866"/>
          <w:sz w:val="22"/>
        </w:rPr>
        <w:t xml:space="preserve"> Validates CL’s own SGPP and AI/RGM investment thesis; the sector is broadly investing in productivity to offset input cost headwinds.</w:t>
      </w:r>
    </w:p>
    <w:p>
      <w:pPr>
        <w:pStyle w:val="ListBullet"/>
        <w:ind w:left="360" w:hanging="360"/>
      </w:pPr>
      <w:r>
        <w:rPr>
          <w:rFonts w:ascii="Calibri" w:hAnsi="Calibri"/>
          <w:b/>
          <w:color w:val="525866"/>
          <w:sz w:val="22"/>
        </w:rPr>
        <w:t>Full-Year Guidance Raised:</w:t>
      </w:r>
      <w:r>
        <w:rPr>
          <w:rFonts w:ascii="Calibri" w:hAnsi="Calibri"/>
          <w:color w:val="525866"/>
          <w:sz w:val="22"/>
        </w:rPr>
        <w:t xml:space="preserve"> MDLZ raised its full-year top-line guidance to “at least 2%” organic growth (from 0–2%) while maintaining EPS guidance of flat-to-up 5% on a constant currency basis. </w:t>
      </w:r>
      <w:r>
        <w:rPr>
          <w:rFonts w:ascii="Calibri" w:hAnsi="Calibri"/>
          <w:b/>
          <w:color w:val="525866"/>
          <w:sz w:val="22"/>
        </w:rPr>
        <w:t>Read-through:</w:t>
      </w:r>
      <w:r>
        <w:rPr>
          <w:rFonts w:ascii="Calibri" w:hAnsi="Calibri"/>
          <w:color w:val="525866"/>
          <w:sz w:val="22"/>
        </w:rPr>
        <w:t xml:space="preserve"> Positive sector signal; the consumer staples sector is not uniformly deteriorating, and companies with strong emerging markets exposure and innovation pipelines are finding ways to grow.</w:t>
      </w:r>
    </w:p>
    <w:p>
      <w:r>
        <w:rPr>
          <w:rFonts w:ascii="Calibri" w:hAnsi="Calibri"/>
          <w:i/>
          <w:color w:val="525866"/>
          <w:sz w:val="22"/>
        </w:rPr>
        <w:t>Sources: PG Q4 FY2026 Earnings Release and Transcript (July 29, 2026); Unilever H1 2026 Earnings Call Transcript (July 28, 2026); Mondelez Q2 2026 Earnings Release and Transcript (July 28, 2026).</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