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688b9768a0ffb7e72061a3341d6bb0ef38174c9"/>
    <w:p>
      <w:pPr>
        <w:pStyle w:val="Heading1"/>
      </w:pPr>
      <w:r>
        <w:t xml:space="preserve">The Clorox Company (CLX) — Q4 FY2026 Earnings Preview</w:t>
      </w:r>
    </w:p>
    <w:p>
      <w:pPr>
        <w:pStyle w:val="FirstParagraph"/>
      </w:pPr>
      <w:r>
        <w:rPr>
          <w:b/>
          <w:bCs/>
        </w:rPr>
        <w:t xml:space="preserve">Report Date:</w:t>
      </w:r>
      <w:r>
        <w:t xml:space="preserve"> </w:t>
      </w:r>
      <w:r>
        <w:t xml:space="preserve">Monday, August 3, 2026, after market close (call at 4:15 p.m. ET remarks / earnings call to follow)</w:t>
      </w:r>
      <w:r>
        <w:t xml:space="preserve"> </w:t>
      </w:r>
      <w:r>
        <w:rPr>
          <w:b/>
          <w:bCs/>
        </w:rPr>
        <w:t xml:space="preserve">Fiscal Quarter:</w:t>
      </w:r>
      <w:r>
        <w:t xml:space="preserve"> </w:t>
      </w:r>
      <w:r>
        <w:t xml:space="preserve">Q4 FY2026 (quarter ended June 30, 2026)</w:t>
      </w:r>
    </w:p>
    <w:p>
      <w:r>
        <w:pict>
          <v:rect style="width:0;height:1.5pt" o:hralign="center" o:hrstd="t" o:hr="t"/>
        </w:pict>
      </w:r>
    </w:p>
    <w:bookmarkStart w:id="9" w:name="Xedad973f3de570c14da36b3ba061003a1b81069"/>
    <w:p>
      <w:pPr>
        <w:pStyle w:val="Heading2"/>
      </w:pPr>
      <w:r>
        <w:t xml:space="preserve">1. The Setup: A Stock Under Pressure Heading Into Print</w:t>
      </w:r>
    </w:p>
    <w:p>
      <w:pPr>
        <w:pStyle w:val="FirstParagraph"/>
      </w:pPr>
      <w:r>
        <w:t xml:space="preserve">CLX shares have been in a well-defined downtrend since a February 2026 peak near $127, falling roughly 25% to the $95–100 range where they've traded into earnings. The proximate catalyst was the Q3 FY26 report on April 30, which triggered a same-week decline of roughly 10% after management cut full-year guidance. Shares have since stabilized but remain well below where they started the year, with a 52-week range of about</w:t>
      </w:r>
      <w:r>
        <w:t xml:space="preserve"> </w:t>
      </w:r>
      <m:oMath>
        <m:r>
          <m:t>84.70</m:t>
        </m:r>
        <m:r>
          <m:rPr>
            <m:sty m:val="p"/>
          </m:rPr>
          <m:t>–</m:t>
        </m:r>
      </m:oMath>
      <w:r>
        <w:t xml:space="preserve">128.68.</w:t>
      </w:r>
    </w:p>
    <w:p>
      <w:pPr>
        <w:pStyle w:val="BodyText"/>
      </w:pPr>
      <w:r>
        <w:t xml:space="preserve">Sell-side sentiment has turned decidedly more cautious in the run-up to this print. In the past two weeks, Jefferies downgraded the stock to Hold from Buy (price target cut to $98 from $125), and other desks have trimmed targets as well — JPMorgan to $92 (Underweight), Evercore ISI to</w:t>
      </w:r>
      <w:r>
        <w:t xml:space="preserve"> </w:t>
      </w:r>
      <m:oMath>
        <m:r>
          <m:t>98</m:t>
        </m:r>
        <m:r>
          <m:rPr>
            <m:sty m:val="p"/>
          </m:rPr>
          <m:t>,</m:t>
        </m:r>
        <m:r>
          <m:t>w</m:t>
        </m:r>
        <m:r>
          <m:t>h</m:t>
        </m:r>
        <m:r>
          <m:t>i</m:t>
        </m:r>
        <m:r>
          <m:t>l</m:t>
        </m:r>
        <m:r>
          <m:t>e</m:t>
        </m:r>
        <m:r>
          <m:t>B</m:t>
        </m:r>
        <m:r>
          <m:t>a</m:t>
        </m:r>
        <m:r>
          <m:t>r</m:t>
        </m:r>
        <m:r>
          <m:t>c</m:t>
        </m:r>
        <m:r>
          <m:t>l</m:t>
        </m:r>
        <m:r>
          <m:t>a</m:t>
        </m:r>
        <m:r>
          <m:t>y</m:t>
        </m:r>
        <m:r>
          <m:t>s</m:t>
        </m:r>
        <m:r>
          <m:rPr>
            <m:sty m:val="p"/>
          </m:rPr>
          <m:t>(</m:t>
        </m:r>
      </m:oMath>
      <w:r>
        <w:t xml:space="preserve">86) and Goldman Sachs (</w:t>
      </w:r>
      <m:oMath>
        <m:r>
          <m:t>83</m:t>
        </m:r>
        <m:r>
          <m:rPr>
            <m:sty m:val="p"/>
          </m:rPr>
          <m:t>)</m:t>
        </m:r>
        <m:r>
          <m:t>m</m:t>
        </m:r>
        <m:r>
          <m:t>a</m:t>
        </m:r>
        <m:r>
          <m:t>i</m:t>
        </m:r>
        <m:r>
          <m:t>n</m:t>
        </m:r>
        <m:r>
          <m:t>t</m:t>
        </m:r>
        <m:r>
          <m:t>a</m:t>
        </m:r>
        <m:r>
          <m:t>i</m:t>
        </m:r>
        <m:r>
          <m:t>n</m:t>
        </m:r>
        <m:r>
          <m:t>S</m:t>
        </m:r>
        <m:r>
          <m:t>e</m:t>
        </m:r>
        <m:r>
          <m:t>l</m:t>
        </m:r>
        <m:r>
          <m:t>l</m:t>
        </m:r>
        <m:r>
          <m:t>r</m:t>
        </m:r>
        <m:r>
          <m:t>a</m:t>
        </m:r>
        <m:r>
          <m:t>t</m:t>
        </m:r>
        <m:r>
          <m:t>i</m:t>
        </m:r>
        <m:r>
          <m:t>n</m:t>
        </m:r>
        <m:r>
          <m:t>g</m:t>
        </m:r>
        <m:r>
          <m:t>s</m:t>
        </m:r>
        <m:r>
          <m:rPr>
            <m:sty m:val="p"/>
          </m:rPr>
          <m:t>.</m:t>
        </m:r>
        <m:r>
          <m:t>A</m:t>
        </m:r>
        <m:r>
          <m:t>f</m:t>
        </m:r>
        <m:r>
          <m:t>e</m:t>
        </m:r>
        <m:r>
          <m:t>w</m:t>
        </m:r>
        <m:r>
          <m:rPr>
            <m:sty m:val="p"/>
          </m:rPr>
          <m:t>,</m:t>
        </m:r>
        <m:r>
          <m:t>l</m:t>
        </m:r>
        <m:r>
          <m:t>i</m:t>
        </m:r>
        <m:r>
          <m:t>k</m:t>
        </m:r>
        <m:r>
          <m:t>e</m:t>
        </m:r>
        <m:r>
          <m:t>D</m:t>
        </m:r>
        <m:r>
          <m:t>e</m:t>
        </m:r>
        <m:r>
          <m:t>u</m:t>
        </m:r>
        <m:r>
          <m:t>t</m:t>
        </m:r>
        <m:r>
          <m:t>s</m:t>
        </m:r>
        <m:r>
          <m:t>c</m:t>
        </m:r>
        <m:r>
          <m:t>h</m:t>
        </m:r>
        <m:r>
          <m:t>e</m:t>
        </m:r>
        <m:r>
          <m:t>B</m:t>
        </m:r>
        <m:r>
          <m:t>a</m:t>
        </m:r>
        <m:r>
          <m:t>n</m:t>
        </m:r>
        <m:r>
          <m:t>k</m:t>
        </m:r>
        <m:r>
          <m:rPr>
            <m:sty m:val="p"/>
          </m:rPr>
          <m:t>(</m:t>
        </m:r>
      </m:oMath>
      <w:r>
        <w:t xml:space="preserve">94, up from $91), have nudged targets modestly higher. Consensus leans toward a cautious "Hold."</w:t>
      </w:r>
    </w:p>
    <w:p>
      <w:pPr>
        <w:pStyle w:val="BodyText"/>
      </w:pPr>
      <w:r>
        <w:t xml:space="preserve">Zacks/Street consensus for the quarter:</w:t>
      </w:r>
      <w:r>
        <w:t xml:space="preserve"> </w:t>
      </w:r>
      <w:r>
        <w:rPr>
          <w:b/>
          <w:bCs/>
        </w:rPr>
        <w:t xml:space="preserve">revenue of ~</w:t>
      </w:r>
      <m:oMath>
        <m:r>
          <m:t>1.91</m:t>
        </m:r>
        <m:r>
          <m:t>b</m:t>
        </m:r>
        <m:r>
          <m:t>i</m:t>
        </m:r>
        <m:r>
          <m:t>l</m:t>
        </m:r>
        <m:r>
          <m:t>l</m:t>
        </m:r>
        <m:r>
          <m:t>i</m:t>
        </m:r>
        <m:r>
          <m:t>o</m:t>
        </m:r>
        <m:r>
          <m:t>n</m:t>
        </m:r>
        <m:r>
          <m:rPr>
            <m:sty m:val="p"/>
          </m:rPr>
          <m:t>(</m:t>
        </m:r>
        <m:r>
          <m:t>d</m:t>
        </m:r>
        <m:r>
          <m:t>o</m:t>
        </m:r>
        <m:r>
          <m:t>w</m:t>
        </m:r>
        <m:r>
          <m:t>n</m:t>
        </m:r>
        <m:r>
          <m:t> </m:t>
        </m:r>
        <m:r>
          <m:t>4.1</m:t>
        </m:r>
      </m:oMath>
      <w:r>
        <w:rPr>
          <w:b/>
          <w:bCs/>
        </w:rPr>
        <w:t xml:space="preserve">1.64 (down ~42.9% YoY</w:t>
      </w:r>
      <w:r>
        <w:t xml:space="preserve"> </w:t>
      </w:r>
      <w:r>
        <w:t xml:space="preserve">from $2.87 a year ago). Full-year FY26 consensus adjusted EPS sits at roughly</w:t>
      </w:r>
      <w:r>
        <w:t xml:space="preserve"> </w:t>
      </w:r>
      <m:oMath>
        <m:r>
          <m:t>5.52</m:t>
        </m:r>
        <m:r>
          <m:rPr>
            <m:sty m:val="p"/>
          </m:rPr>
          <m:t>–</m:t>
        </m:r>
      </m:oMath>
      <w:r>
        <w:t xml:space="preserve">5.53, squarely within — but near the low end of — management's own</w:t>
      </w:r>
      <w:r>
        <w:t xml:space="preserve"> </w:t>
      </w:r>
      <m:oMath>
        <m:r>
          <m:t>5.45</m:t>
        </m:r>
        <m:r>
          <m:rPr>
            <m:sty m:val="p"/>
          </m:rPr>
          <m:t>–</m:t>
        </m:r>
      </m:oMath>
      <w:r>
        <w:t xml:space="preserve">5.65 guidance range. Analysts signaled that Clorox is expected to report June-quarter earnings of US</w:t>
      </w:r>
      <m:oMath>
        <m:r>
          <m:t>1.64</m:t>
        </m:r>
        <m:r>
          <m:t>p</m:t>
        </m:r>
        <m:r>
          <m:t>e</m:t>
        </m:r>
        <m:r>
          <m:t>r</m:t>
        </m:r>
        <m:r>
          <m:t>s</m:t>
        </m:r>
        <m:r>
          <m:t>h</m:t>
        </m:r>
        <m:r>
          <m:t>a</m:t>
        </m:r>
        <m:r>
          <m:t>r</m:t>
        </m:r>
        <m:r>
          <m:t>e</m:t>
        </m:r>
        <m:r>
          <m:rPr>
            <m:sty m:val="p"/>
          </m:rPr>
          <m:t>,</m:t>
        </m:r>
        <m:r>
          <m:t>a</m:t>
        </m:r>
        <m:r>
          <m:t>y</m:t>
        </m:r>
        <m:r>
          <m:t>e</m:t>
        </m:r>
        <m:r>
          <m:t>a</m:t>
        </m:r>
        <m:r>
          <m:t>r</m:t>
        </m:r>
        <m:r>
          <m:rPr>
            <m:sty m:val="p"/>
          </m:rPr>
          <m:t>−</m:t>
        </m:r>
        <m:r>
          <m:t>o</m:t>
        </m:r>
        <m:r>
          <m:t>v</m:t>
        </m:r>
        <m:r>
          <m:t>e</m:t>
        </m:r>
        <m:r>
          <m:t>r</m:t>
        </m:r>
        <m:r>
          <m:rPr>
            <m:sty m:val="p"/>
          </m:rPr>
          <m:t>−</m:t>
        </m:r>
        <m:r>
          <m:t>y</m:t>
        </m:r>
        <m:r>
          <m:t>e</m:t>
        </m:r>
        <m:r>
          <m:t>a</m:t>
        </m:r>
        <m:r>
          <m:t>r</m:t>
        </m:r>
        <m:r>
          <m:t>d</m:t>
        </m:r>
        <m:r>
          <m:t>e</m:t>
        </m:r>
        <m:r>
          <m:t>c</m:t>
        </m:r>
        <m:r>
          <m:t>l</m:t>
        </m:r>
        <m:r>
          <m:t>i</m:t>
        </m:r>
        <m:r>
          <m:t>n</m:t>
        </m:r>
        <m:r>
          <m:t>e</m:t>
        </m:r>
        <m:r>
          <m:t>o</m:t>
        </m:r>
        <m:r>
          <m:t>f</m:t>
        </m:r>
        <m:r>
          <m:t>42.9</m:t>
        </m:r>
      </m:oMath>
      <w:r>
        <w:t xml:space="preserve">1.91 billion, down 4.1%, with limited indications of an earnings beat, combined with a weak Earnings ESP and Zacks Rank of 4, highlighting growing skepticism around the strength of Clorox's near-term profit trajectory. Clorox has historically been a beat-prone name — the company has a trailing four-quarter earnings surprise of 11.3%, on average — but the setup into this print looks more mixed than usual.</w:t>
      </w:r>
    </w:p>
    <w:p>
      <w:r>
        <w:pict>
          <v:rect style="width:0;height:1.5pt" o:hralign="center" o:hrstd="t" o:hr="t"/>
        </w:pict>
      </w:r>
    </w:p>
    <w:bookmarkEnd w:id="9"/>
    <w:bookmarkStart w:id="10" w:name="X408416d592d0a149472d6862ea00a7c631c0486"/>
    <w:p>
      <w:pPr>
        <w:pStyle w:val="Heading2"/>
      </w:pPr>
      <w:r>
        <w:t xml:space="preserve">2. Recap: Why Expectations Reset Lower</w:t>
      </w:r>
    </w:p>
    <w:p>
      <w:pPr>
        <w:pStyle w:val="FirstParagraph"/>
      </w:pPr>
      <w:r>
        <w:t xml:space="preserve">The current guidance and bearish tone trace directly to the Q3 (March quarter) report. Net sales were flat at $1.67 billion and organic sales fell 1%, while gross margin contracted 140 bps to 43.2%. CEO Linda Rendle characterized the quarter bluntly: "our third quarter results were mixed... and fell short of our expectations," citing slower-than-anticipated share recovery in certain categories and gross margin pressure from higher supply-chain costs and delayed cost savings tied to the now-completed ERP rollout.</w:t>
      </w:r>
    </w:p>
    <w:p>
      <w:pPr>
        <w:pStyle w:val="BodyText"/>
      </w:pPr>
      <w:r>
        <w:t xml:space="preserve">Three forces converged to force a guidance cut:</w:t>
      </w:r>
    </w:p>
    <w:p>
      <w:pPr>
        <w:pStyle w:val="Compact"/>
        <w:numPr>
          <w:ilvl w:val="0"/>
          <w:numId w:val="1001"/>
        </w:numPr>
      </w:pPr>
      <w:r>
        <w:rPr>
          <w:b/>
          <w:bCs/>
        </w:rPr>
        <w:t xml:space="preserve">A ~7.5-point organic sales headwind</w:t>
      </w:r>
      <w:r>
        <w:t xml:space="preserve"> </w:t>
      </w:r>
      <w:r>
        <w:t xml:space="preserve">from the reversal of prior-year "channel stuffing" ahead of the ERP cutover (retailers built ~2 weeks of extra inventory in Q4 FY25 that is now unwinding).</w:t>
      </w:r>
    </w:p>
    <w:p>
      <w:pPr>
        <w:pStyle w:val="Compact"/>
        <w:numPr>
          <w:ilvl w:val="0"/>
          <w:numId w:val="1001"/>
        </w:numPr>
      </w:pPr>
      <w:r>
        <w:rPr>
          <w:b/>
          <w:bCs/>
        </w:rPr>
        <w:t xml:space="preserve">GOJO Industries integration</w:t>
      </w:r>
      <w:r>
        <w:t xml:space="preserve"> </w:t>
      </w:r>
      <w:r>
        <w:t xml:space="preserve">— the acquisition closed April 1, adding ~</w:t>
      </w:r>
      <m:oMath>
        <m:r>
          <m:t>800</m:t>
        </m:r>
        <m:r>
          <m:t>M</m:t>
        </m:r>
        <m:r>
          <m:t>o</m:t>
        </m:r>
        <m:r>
          <m:t>f</m:t>
        </m:r>
        <m:r>
          <m:t>B</m:t>
        </m:r>
        <m:r>
          <m:t>2</m:t>
        </m:r>
        <m:r>
          <m:t>B</m:t>
        </m:r>
        <m:r>
          <m:rPr>
            <m:sty m:val="p"/>
          </m:rPr>
          <m:t>−</m:t>
        </m:r>
        <m:r>
          <m:t>w</m:t>
        </m:r>
        <m:r>
          <m:t>e</m:t>
        </m:r>
        <m:r>
          <m:t>i</m:t>
        </m:r>
        <m:r>
          <m:t>g</m:t>
        </m:r>
        <m:r>
          <m:t>h</m:t>
        </m:r>
        <m:r>
          <m:t>t</m:t>
        </m:r>
        <m:r>
          <m:t>e</m:t>
        </m:r>
        <m:r>
          <m:t>d</m:t>
        </m:r>
        <m:r>
          <m:rPr>
            <m:sty m:val="p"/>
          </m:rPr>
          <m:t>(</m:t>
        </m:r>
        <m:r>
          <m:t>80</m:t>
        </m:r>
      </m:oMath>
      <w:r>
        <w:t xml:space="preserve">30M in Q4 alone, ~</w:t>
      </w:r>
      <m:oMath>
        <m:r>
          <m:t>110</m:t>
        </m:r>
        <m:r>
          <m:t>M</m:t>
        </m:r>
        <m:r>
          <m:t>a</m:t>
        </m:r>
        <m:r>
          <m:t>n</m:t>
        </m:r>
        <m:r>
          <m:t>n</m:t>
        </m:r>
        <m:r>
          <m:t>u</m:t>
        </m:r>
        <m:r>
          <m:t>a</m:t>
        </m:r>
        <m:r>
          <m:t>l</m:t>
        </m:r>
        <m:r>
          <m:t>i</m:t>
        </m:r>
        <m:r>
          <m:t>z</m:t>
        </m:r>
        <m:r>
          <m:t>e</m:t>
        </m:r>
        <m:r>
          <m:t>d</m:t>
        </m:r>
        <m:r>
          <m:t>a</m:t>
        </m:r>
        <m:r>
          <m:t>b</m:t>
        </m:r>
        <m:r>
          <m:t>o</m:t>
        </m:r>
        <m:r>
          <m:t>v</m:t>
        </m:r>
        <m:r>
          <m:t>e</m:t>
        </m:r>
        <m:r>
          <m:t>t</m:t>
        </m:r>
        <m:r>
          <m:t>h</m:t>
        </m:r>
        <m:r>
          <m:t>e</m:t>
        </m:r>
        <m:r>
          <m:t>p</m:t>
        </m:r>
        <m:r>
          <m:t>r</m:t>
        </m:r>
        <m:r>
          <m:t>i</m:t>
        </m:r>
        <m:r>
          <m:t>o</m:t>
        </m:r>
        <m:r>
          <m:t>r</m:t>
        </m:r>
        <m:r>
          <m:t> </m:t>
        </m:r>
      </m:oMath>
      <w:r>
        <w:t xml:space="preserve">100M run rate).</w:t>
      </w:r>
    </w:p>
    <w:p>
      <w:pPr>
        <w:pStyle w:val="Compact"/>
        <w:numPr>
          <w:ilvl w:val="0"/>
          <w:numId w:val="1001"/>
        </w:numPr>
      </w:pPr>
      <w:r>
        <w:rPr>
          <w:b/>
          <w:bCs/>
        </w:rPr>
        <w:t xml:space="preserve">A fresh oil-price/Middle East conflict headwind</w:t>
      </w:r>
      <w:r>
        <w:t xml:space="preserve"> </w:t>
      </w:r>
      <w:r>
        <w:t xml:space="preserve">of $20–25 million in Q4 alone (~130 bps of gross margin), which management said would hit with essentially no mitigation yet deployed.</w:t>
      </w:r>
    </w:p>
    <w:p>
      <w:pPr>
        <w:pStyle w:val="FirstParagraph"/>
      </w:pPr>
      <w:r>
        <w:t xml:space="preserve">Current FY26 guidance (as of April 30, unchanged pending tomorrow's update): net sales down ~6% (including ~3 points from GOJO), organic sales down ~9%, gross margin down 250–300 bps, diluted EPS of</w:t>
      </w:r>
      <w:r>
        <w:t xml:space="preserve"> </w:t>
      </w:r>
      <m:oMath>
        <m:r>
          <m:t>4.78</m:t>
        </m:r>
        <m:r>
          <m:rPr>
            <m:sty m:val="p"/>
          </m:rPr>
          <m:t>–</m:t>
        </m:r>
      </m:oMath>
      <w:r>
        <w:t xml:space="preserve">4.98, and adjusted EPS of</w:t>
      </w:r>
      <w:r>
        <w:t xml:space="preserve"> </w:t>
      </w:r>
      <m:oMath>
        <m:r>
          <m:t>5.45</m:t>
        </m:r>
        <m:r>
          <m:rPr>
            <m:sty m:val="p"/>
          </m:rPr>
          <m:t>–</m:t>
        </m:r>
      </m:oMath>
      <w:r>
        <w:t xml:space="preserve">5.65.</w:t>
      </w:r>
    </w:p>
    <w:p>
      <w:r>
        <w:pict>
          <v:rect style="width:0;height:1.5pt" o:hralign="center" o:hrstd="t" o:hr="t"/>
        </w:pict>
      </w:r>
    </w:p>
    <w:bookmarkEnd w:id="10"/>
    <w:bookmarkStart w:id="11" w:name="X83570cff2028e73dcebe8e201982ead0624aff5"/>
    <w:p>
      <w:pPr>
        <w:pStyle w:val="Heading2"/>
      </w:pPr>
      <w:r>
        <w:t xml:space="preserve">3. What to Watch in the Q4 Print</w:t>
      </w:r>
    </w:p>
    <w:p>
      <w:pPr>
        <w:pStyle w:val="FirstParagraph"/>
      </w:pPr>
      <w:r>
        <w:rPr>
          <w:b/>
          <w:bCs/>
        </w:rPr>
        <w:t xml:space="preserve">Gross margin — the single biggest swing factor.</w:t>
      </w:r>
      <w:r>
        <w:t xml:space="preserve"> </w:t>
      </w:r>
      <w:r>
        <w:t xml:space="preserve">Q3's shortfall was almost entirely a margin story (higher logistics/manufacturing costs, delayed productivity savings, oil-driven input inflation, GOJO dilution). Street models currently look for gross margin near 41%, a steep ~500+ bps YoY decline once GOJO's one-time inventory step-up and the Middle East energy headwind are layered in. A print that clears management's prior commentary (mid-40s%) with the one-time GOJO and ERP-lapping items confirmed as truly non-repeating would be read as evidence the FY27 cost story is manageable; a miss reopens debate about how much of this pressure is structural.</w:t>
      </w:r>
    </w:p>
    <w:p>
      <w:pPr>
        <w:pStyle w:val="BodyText"/>
      </w:pPr>
      <w:r>
        <w:rPr>
          <w:b/>
          <w:bCs/>
        </w:rPr>
        <w:t xml:space="preserve">Category-level progress on the "problem children":</w:t>
      </w:r>
    </w:p>
    <w:p>
      <w:pPr>
        <w:pStyle w:val="Compact"/>
        <w:numPr>
          <w:ilvl w:val="0"/>
          <w:numId w:val="1002"/>
        </w:numPr>
      </w:pPr>
      <w:r>
        <w:rPr>
          <w:b/>
          <w:bCs/>
        </w:rPr>
        <w:t xml:space="preserve">Fresh Step / Cat Litter</w:t>
      </w:r>
      <w:r>
        <w:t xml:space="preserve"> </w:t>
      </w:r>
      <w:r>
        <w:t xml:space="preserve">— undergoing a full brand reinvention (new UPCs, claims, pack sizes, price architecture). Management called this the primary source of Q3's shortfall, citing shelf-placement issues and SKU-conversion out-of-stocks even as distribution point gains (TDPs +5% company-wide in Q3) came in as planned. Watch for commentary on whether velocity is finally converting shelf gains into share.</w:t>
      </w:r>
    </w:p>
    <w:p>
      <w:pPr>
        <w:pStyle w:val="Compact"/>
        <w:numPr>
          <w:ilvl w:val="0"/>
          <w:numId w:val="1002"/>
        </w:numPr>
      </w:pPr>
      <w:r>
        <w:rPr>
          <w:b/>
          <w:bCs/>
        </w:rPr>
        <w:t xml:space="preserve">Food / Hidden Valley Ranch</w:t>
      </w:r>
      <w:r>
        <w:t xml:space="preserve"> </w:t>
      </w:r>
      <w:r>
        <w:t xml:space="preserve">— category demand was weaker than expected (mid-single-digit decline vs. a low-single-digit decline assumption), pressured by deep competitor discounting and GLP-1-related consumption shifts. Clorox reversed a prior packaging change (bringing back the traditional 16oz bottle) and layered in new "trend forward" launches (Avocado Oil, protein-forward Ranch); the segment did return to share growth in Q3.</w:t>
      </w:r>
    </w:p>
    <w:p>
      <w:pPr>
        <w:pStyle w:val="Compact"/>
        <w:numPr>
          <w:ilvl w:val="0"/>
          <w:numId w:val="1002"/>
        </w:numPr>
      </w:pPr>
      <w:r>
        <w:rPr>
          <w:b/>
          <w:bCs/>
        </w:rPr>
        <w:t xml:space="preserve">Glad</w:t>
      </w:r>
      <w:r>
        <w:t xml:space="preserve"> </w:t>
      </w:r>
      <w:r>
        <w:t xml:space="preserve">— a multi-year underperformer that management says is inflecting via revenue growth management (RGM)/price actions and stronger innovation, with sequential share improvement.</w:t>
      </w:r>
    </w:p>
    <w:p>
      <w:pPr>
        <w:pStyle w:val="Compact"/>
        <w:numPr>
          <w:ilvl w:val="0"/>
          <w:numId w:val="1002"/>
        </w:numPr>
      </w:pPr>
      <w:r>
        <w:rPr>
          <w:b/>
          <w:bCs/>
        </w:rPr>
        <w:t xml:space="preserve">Cleaning / Clorox PURE / International</w:t>
      </w:r>
      <w:r>
        <w:t xml:space="preserve"> </w:t>
      </w:r>
      <w:r>
        <w:t xml:space="preserve">— areas of relative strength; PURE (allergen platform) velocities were said to be running above expectations, and International grew net sales 8% (organic sales +2%) in Q3.</w:t>
      </w:r>
    </w:p>
    <w:p>
      <w:pPr>
        <w:pStyle w:val="FirstParagraph"/>
      </w:pPr>
      <w:r>
        <w:rPr>
          <w:b/>
          <w:bCs/>
        </w:rPr>
        <w:t xml:space="preserve">GOJO contribution and synergy tracking.</w:t>
      </w:r>
      <w:r>
        <w:t xml:space="preserve"> </w:t>
      </w:r>
      <w:r>
        <w:t xml:space="preserve">GOJO was expected to add roughly $200 million of revenue in Q4 (about 10 points of quarterly growth), with management targeting at least $50 million of run-rate cost synergies starting in years two and three. Investors will want an update on integration progress, retention of the GOJO management team, and whether the deal stays on track to be EBITDA-neutral in year one.</w:t>
      </w:r>
    </w:p>
    <w:p>
      <w:pPr>
        <w:pStyle w:val="BodyText"/>
      </w:pPr>
      <w:r>
        <w:rPr>
          <w:b/>
          <w:bCs/>
        </w:rPr>
        <w:t xml:space="preserve">Initial FY2027 guidance.</w:t>
      </w:r>
      <w:r>
        <w:t xml:space="preserve"> </w:t>
      </w:r>
      <w:r>
        <w:t xml:space="preserve">This is arguably the most important element of the print, since management explicitly deferred FY27 framing on the Q3 call pending more clarity on oil/commodity costs, tariffs, and category recovery. Investors should watch for: (1) the assumed trajectory for input costs/oil given the Middle East conflict, (2) pricing and RGM plans to offset inflation, (3) the pace of category normalization as the ERP-related distortions fully roll off, and (4) a full-year view of GOJO's margin and synergy contribution.</w:t>
      </w:r>
    </w:p>
    <w:p>
      <w:r>
        <w:pict>
          <v:rect style="width:0;height:1.5pt" o:hralign="center" o:hrstd="t" o:hr="t"/>
        </w:pict>
      </w:r>
    </w:p>
    <w:bookmarkEnd w:id="11"/>
    <w:bookmarkStart w:id="12" w:name="X94612b13202475b2b013e1cab7f8a876a5d143b"/>
    <w:p>
      <w:pPr>
        <w:pStyle w:val="Heading2"/>
      </w:pPr>
      <w:r>
        <w:t xml:space="preserve">4. The Corporate Backdrop Has Also Changed Materially</w:t>
      </w:r>
    </w:p>
    <w:p>
      <w:pPr>
        <w:pStyle w:val="FirstParagraph"/>
      </w:pPr>
      <w:r>
        <w:t xml:space="preserve">Several non-operating developments since the last earnings call add uncertainty (and some intrigue) to tomorrow's report:</w:t>
      </w:r>
    </w:p>
    <w:p>
      <w:pPr>
        <w:pStyle w:val="Compact"/>
        <w:numPr>
          <w:ilvl w:val="0"/>
          <w:numId w:val="1003"/>
        </w:numPr>
      </w:pPr>
      <w:r>
        <w:rPr>
          <w:b/>
          <w:bCs/>
        </w:rPr>
        <w:t xml:space="preserve">CEO transition.</w:t>
      </w:r>
      <w:r>
        <w:t xml:space="preserve"> </w:t>
      </w:r>
      <w:r>
        <w:t xml:space="preserve">On May 28, Chair and CEO Linda Rendle disclosed she asked the board to begin a CEO search after being diagnosed with early-stage breast cancer, from which she is now cancer-free, though ongoing treatment side effects prompted the decision. She will remain Chair and CEO while the search is conducted and until the new CEO is appointed, and will also serve in an advisory role for a period following the appointment to drive business performance and a smooth leadership transition. The stock reacted sharply negative to the news (roughly -6.4% that day per one analysis), underscoring investor sensitivity to leadership continuity risk layered on top of operational challenges.</w:t>
      </w:r>
    </w:p>
    <w:p>
      <w:pPr>
        <w:pStyle w:val="Compact"/>
        <w:numPr>
          <w:ilvl w:val="0"/>
          <w:numId w:val="1003"/>
        </w:numPr>
      </w:pPr>
      <w:r>
        <w:rPr>
          <w:b/>
          <w:bCs/>
        </w:rPr>
        <w:t xml:space="preserve">Organizational simplification.</w:t>
      </w:r>
      <w:r>
        <w:t xml:space="preserve"> </w:t>
      </w:r>
      <w:r>
        <w:t xml:space="preserve">On June 17, Clorox announced a simplified operating structure designed to streamline leadership oversight, align resources to drive the company's strongest growth opportunities, advance portfolio optimization efforts and support faster execution across the enterprise, appointing Chris Hyder as EVP and Chief Operating Officer in a role that consolidates leadership of all business units under a single executive. Nina Barton was named EVP, Chief Growth &amp; Strategy Officer. This reorganization is explicitly framed as an execution fix layered on top of the ongoing CEO search.</w:t>
      </w:r>
    </w:p>
    <w:p>
      <w:pPr>
        <w:pStyle w:val="Compact"/>
        <w:numPr>
          <w:ilvl w:val="0"/>
          <w:numId w:val="1003"/>
        </w:numPr>
      </w:pPr>
      <w:r>
        <w:rPr>
          <w:b/>
          <w:bCs/>
        </w:rPr>
        <w:t xml:space="preserve">Capital markets activity.</w:t>
      </w:r>
      <w:r>
        <w:t xml:space="preserve"> </w:t>
      </w:r>
      <w:r>
        <w:t xml:space="preserve">Clorox raised $1.5 billion via a senior notes offering in May 2026 and closed a $2.25 billion credit facility in March 2026, largely to fund the GOJO acquisition — leaving notes/loans payable on the balance sheet jumping from $4 million at fiscal year-end to $1.59 billion by March 31, 2026, and pushing leverage notably higher (net debt/EBITDA estimated in the low-4x range for FY26 by some models).</w:t>
      </w:r>
    </w:p>
    <w:p>
      <w:pPr>
        <w:pStyle w:val="Compact"/>
        <w:numPr>
          <w:ilvl w:val="0"/>
          <w:numId w:val="1003"/>
        </w:numPr>
      </w:pPr>
      <w:r>
        <w:rPr>
          <w:b/>
          <w:bCs/>
        </w:rPr>
        <w:t xml:space="preserve">Dividend.</w:t>
      </w:r>
      <w:r>
        <w:t xml:space="preserve"> </w:t>
      </w:r>
      <w:r>
        <w:t xml:space="preserve">Despite the earnings reset, the board raised the quarterly dividend to $1.25 from $1.24 on July 31, 2026 — continuing Clorox's long history of providing value to shareholders through regular dividend payments and annual dividend increases, and supporting a dividend yield of roughly 5%.</w:t>
      </w:r>
    </w:p>
    <w:p>
      <w:r>
        <w:pict>
          <v:rect style="width:0;height:1.5pt" o:hralign="center" o:hrstd="t" o:hr="t"/>
        </w:pict>
      </w:r>
    </w:p>
    <w:bookmarkEnd w:id="12"/>
    <w:bookmarkStart w:id="13" w:name="Xf0d23246161cf4d8980487854da8d66579249ae"/>
    <w:p>
      <w:pPr>
        <w:pStyle w:val="Heading2"/>
      </w:pPr>
      <w:r>
        <w:t xml:space="preserve">5. Valuation Debate</w:t>
      </w:r>
    </w:p>
    <w:p>
      <w:pPr>
        <w:pStyle w:val="FirstParagraph"/>
      </w:pPr>
      <w:r>
        <w:t xml:space="preserve">Bulls point to depressed multiples: CLX trades at roughly 16x forward earnings, below the household-products peer average and well below the broader consumer staples peer group, with some discounted cash flow models suggesting the stock is undervalued by around 30%. Bears counter that FY27 visibility is limited given unresolved oil/commodity cost trends, a leadership vacuum at the top, ongoing category share losses in litter and food, and a more leveraged balance sheet post-GOJO — all of which argue for a "show me" stance until the cost and share-recovery story is proven out over consecutive quarters.</w:t>
      </w:r>
    </w:p>
    <w:p>
      <w:r>
        <w:pict>
          <v:rect style="width:0;height:1.5pt" o:hralign="center" o:hrstd="t" o:hr="t"/>
        </w:pict>
      </w:r>
    </w:p>
    <w:bookmarkEnd w:id="13"/>
    <w:bookmarkStart w:id="14" w:name="Xd4bf6205a9bfa183b58f00ca467c208cbf0bac7"/>
    <w:p>
      <w:pPr>
        <w:pStyle w:val="Heading2"/>
      </w:pPr>
      <w:r>
        <w:t xml:space="preserve">6. Bottom Line for Investors</w:t>
      </w:r>
    </w:p>
    <w:p>
      <w:pPr>
        <w:pStyle w:val="FirstParagraph"/>
      </w:pPr>
      <w:r>
        <w:t xml:space="preserve">This is a "prove it" quarter. The bar has already been reset lower (both by management's own guidance cut and by consensus estimates implying a ~43% EPS decline), so the more important signals will likely be qualitative: whether gross margin stabilizes as promised now that the ERP transition is complete, whether Fresh Step's brand reset is finally converting shelf gains into velocity, how GOJO integration and synergy capture are tracking, and — critically — what framework management lays out for FY2027 amid oil-price volatility, tariff risk, and a leadership transition still in progress. Given the magnitude of the headline EPS decline already expected, the market's reaction is likely to hinge less on whether Clorox "beats" a depressed number and more on the tone and specificity of FY27 guidance and any update on the CEO search.</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2026-08-03T00:19:13Z</dcterms:created>
  <dcterms:modified xsi:type="dcterms:W3CDTF">2026-08-03T00:19:13Z</dcterms:modified>
</cp:coreProperties>
</file>

<file path=docProps/custom.xml><?xml version="1.0" encoding="utf-8"?>
<Properties xmlns="http://schemas.openxmlformats.org/officeDocument/2006/custom-properties" xmlns:vt="http://schemas.openxmlformats.org/officeDocument/2006/docPropsVTypes"/>
</file>