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x-earnings-predictions--2026-08-03"/>
    <w:p>
      <w:pPr>
        <w:pStyle w:val="Heading1"/>
      </w:pPr>
      <w:r>
        <w:t xml:space="preserve">CLX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~$1.68 vs. cons $1.67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~$1.91B vs. cons $1.913B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~41.7% vs. cons 41.5%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~$5.65 vs. cons $6.00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~$7.42B vs. cons $7.57B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~1.0% vs. cons 3.0%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-8.5% (FOLLOW-THROUGH)</w:t>
            </w:r>
          </w:p>
        </w:tc>
        <w:tc>
          <w:tcPr/>
          <w:p>
            <w:pPr>
              <w:pStyle w:val="Compact"/>
            </w:pPr>
            <w:r>
              <w:t xml:space="preserve">FY2027 adjusted-EPS guidance of ~</w:t>
            </w:r>
            <m:oMath>
              <m:r>
                <m:t>5.65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6.00 consensus implies roughly 6% estimate cuts; weak organic-growth and margin assumptions should outweigh an approximately in-line Q4 and drive continued downward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2026-08-03T00:18:26Z</dcterms:created>
  <dcterms:modified xsi:type="dcterms:W3CDTF">2026-08-03T00:18:26Z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