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2db9b16a31259f5df7a8caedd960494ea0aed03"/>
    <w:p>
      <w:pPr>
        <w:pStyle w:val="Heading1"/>
      </w:pPr>
      <w:r>
        <w:t xml:space="preserve">Clorox (NYSE: CLX) Fiscal Q4 2026 Earnings Preview</w:t>
      </w:r>
    </w:p>
    <w:p>
      <w:pPr>
        <w:pStyle w:val="BlockText"/>
      </w:pPr>
      <w:r>
        <w:rPr>
          <w:b/>
          <w:bCs/>
        </w:rPr>
        <w:t xml:space="preserve">Timing clarification:</w:t>
      </w:r>
      <w:r>
        <w:t xml:space="preserve"> </w:t>
      </w:r>
      <w:r>
        <w:t xml:space="preserve">Clorox is reporting</w:t>
      </w:r>
      <w:r>
        <w:t xml:space="preserve"> </w:t>
      </w:r>
      <w:r>
        <w:rPr>
          <w:b/>
          <w:bCs/>
        </w:rPr>
        <w:t xml:space="preserve">today, Monday, August 3, 2026—not tomorrow</w:t>
      </w:r>
      <w:r>
        <w:t xml:space="preserve">. Results and prepared remarks are scheduled for</w:t>
      </w:r>
      <w:r>
        <w:t xml:space="preserve"> </w:t>
      </w:r>
      <w:r>
        <w:rPr>
          <w:b/>
          <w:bCs/>
        </w:rPr>
        <w:t xml:space="preserve">4:15 p.m. ET</w:t>
      </w:r>
      <w:r>
        <w:t xml:space="preserve">, followed by the earnings call at</w:t>
      </w:r>
      <w:r>
        <w:t xml:space="preserve"> </w:t>
      </w:r>
      <w:r>
        <w:rPr>
          <w:b/>
          <w:bCs/>
        </w:rPr>
        <w:t xml:space="preserve">5:00 p.m. ET</w:t>
      </w:r>
      <w:r>
        <w:t xml:space="preserve">. (</w:t>
      </w:r>
      <w:hyperlink r:id="rId9">
        <w:r>
          <w:rPr>
            <w:rStyle w:val="Hyperlink"/>
          </w:rPr>
          <w:t xml:space="preserve">investors.thecloroxcompany.com</w:t>
        </w:r>
      </w:hyperlink>
      <w:r>
        <w:t xml:space="preserve">)</w:t>
      </w:r>
    </w:p>
    <w:bookmarkStart w:id="10" w:name="executive-view"/>
    <w:p>
      <w:pPr>
        <w:pStyle w:val="Heading2"/>
      </w:pPr>
      <w:r>
        <w:t xml:space="preserve">Executive view</w:t>
      </w:r>
    </w:p>
    <w:p>
      <w:pPr>
        <w:pStyle w:val="FirstParagraph"/>
      </w:pPr>
      <w:r>
        <w:t xml:space="preserve">This report is less about whether Clorox lands a few cents above or below quarterly consensus and more about whether management can establish a credible</w:t>
      </w:r>
      <w:r>
        <w:t xml:space="preserve"> </w:t>
      </w:r>
      <w:r>
        <w:rPr>
          <w:b/>
          <w:bCs/>
        </w:rPr>
        <w:t xml:space="preserve">fiscal 2027 recovery path</w:t>
      </w:r>
      <w:r>
        <w:t xml:space="preserve">.</w:t>
      </w:r>
    </w:p>
    <w:p>
      <w:pPr>
        <w:pStyle w:val="BodyText"/>
      </w:pPr>
      <w:r>
        <w:t xml:space="preserve">Fiscal Q4 faces unusually difficult comparisons, acquisition accounting and commodity pressure. Accordingly, weak year-over-year sales, earnings and gross-margin figures are already expected. The more important questions are:</w:t>
      </w:r>
    </w:p>
    <w:p>
      <w:pPr>
        <w:pStyle w:val="Compact"/>
        <w:numPr>
          <w:ilvl w:val="0"/>
          <w:numId w:val="1001"/>
        </w:numPr>
      </w:pPr>
      <w:r>
        <w:t xml:space="preserve">Is the legacy business rebuilding market share after the ERP disruption?</w:t>
      </w:r>
    </w:p>
    <w:p>
      <w:pPr>
        <w:pStyle w:val="Compact"/>
        <w:numPr>
          <w:ilvl w:val="0"/>
          <w:numId w:val="1001"/>
        </w:numPr>
      </w:pPr>
      <w:r>
        <w:t xml:space="preserve">Are Fresh Step, Hidden Valley and Glad improving quickly enough?</w:t>
      </w:r>
    </w:p>
    <w:p>
      <w:pPr>
        <w:pStyle w:val="Compact"/>
        <w:numPr>
          <w:ilvl w:val="0"/>
          <w:numId w:val="1001"/>
        </w:numPr>
      </w:pPr>
      <w:r>
        <w:t xml:space="preserve">How much of the Q4 gross-margin decline is temporary?</w:t>
      </w:r>
    </w:p>
    <w:p>
      <w:pPr>
        <w:pStyle w:val="Compact"/>
        <w:numPr>
          <w:ilvl w:val="0"/>
          <w:numId w:val="1001"/>
        </w:numPr>
      </w:pPr>
      <w:r>
        <w:t xml:space="preserve">Can pricing and cost savings offset energy, resin and logistics inflation in FY2027?</w:t>
      </w:r>
    </w:p>
    <w:p>
      <w:pPr>
        <w:pStyle w:val="Compact"/>
        <w:numPr>
          <w:ilvl w:val="0"/>
          <w:numId w:val="1001"/>
        </w:numPr>
      </w:pPr>
      <w:r>
        <w:t xml:space="preserve">Is GOJO/Purell performing to plan after its first quarter under Clorox ownership?</w:t>
      </w:r>
    </w:p>
    <w:p>
      <w:pPr>
        <w:pStyle w:val="Compact"/>
        <w:numPr>
          <w:ilvl w:val="0"/>
          <w:numId w:val="1001"/>
        </w:numPr>
      </w:pPr>
      <w:r>
        <w:t xml:space="preserve">What does management expect for FY2027 organic sales, margins, EPS and cash flow?</w:t>
      </w:r>
    </w:p>
    <w:p>
      <w:pPr>
        <w:pStyle w:val="FirstParagraph"/>
      </w:pPr>
      <w:r>
        <w:t xml:space="preserve">A quarter roughly in line with consensus could be received positively if management offers a credible margin-recovery framework. Conversely, an EPS beat driven by reduced advertising or other discretionary spending would be lower quality if market-share trends remain weak.</w:t>
      </w:r>
    </w:p>
    <w:p>
      <w:r>
        <w:pict>
          <v:rect style="width:0;height:1.5pt" o:hralign="center" o:hrstd="t" o:hr="t"/>
        </w:pict>
      </w:r>
    </w:p>
    <w:bookmarkEnd w:id="10"/>
    <w:bookmarkStart w:id="12" w:name="expectations-and-implied-q4-targets"/>
    <w:p>
      <w:pPr>
        <w:pStyle w:val="Heading2"/>
      </w:pPr>
      <w:r>
        <w:t xml:space="preserve">Expectations and implied Q4 targets</w:t>
      </w:r>
    </w:p>
    <w:p>
      <w:pPr>
        <w:pStyle w:val="FirstParagraph"/>
      </w:pPr>
      <w:r>
        <w:t xml:space="preserve">Available consensus estimates point to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Q4 2026</w:t>
            </w:r>
          </w:p>
        </w:tc>
        <w:tc>
          <w:tcPr/>
          <w:p>
            <w:pPr>
              <w:pStyle w:val="Compact"/>
              <w:jc w:val="right"/>
            </w:pPr>
            <w:r>
              <w:t xml:space="preserve">Expectation</w:t>
            </w:r>
          </w:p>
        </w:tc>
      </w:tr>
      <w:tr>
        <w:tc>
          <w:tcPr/>
          <w:p>
            <w:pPr>
              <w:pStyle w:val="Compact"/>
            </w:pPr>
            <w:r>
              <w:t xml:space="preserve">Revenue</w:t>
            </w:r>
          </w:p>
        </w:tc>
        <w:tc>
          <w:tcPr/>
          <w:p>
            <w:pPr>
              <w:pStyle w:val="Compact"/>
              <w:jc w:val="right"/>
            </w:pPr>
            <w:r>
              <w:rPr>
                <w:b/>
                <w:bCs/>
              </w:rPr>
              <w:t xml:space="preserve">$1.91 billion</w:t>
            </w:r>
          </w:p>
        </w:tc>
      </w:tr>
      <w:tr>
        <w:tc>
          <w:tcPr/>
          <w:p>
            <w:pPr>
              <w:pStyle w:val="Compact"/>
            </w:pPr>
            <w:r>
              <w:t xml:space="preserve">Adjusted EPS</w:t>
            </w:r>
          </w:p>
        </w:tc>
        <w:tc>
          <w:tcPr/>
          <w:p>
            <w:pPr>
              <w:pStyle w:val="Compact"/>
              <w:jc w:val="right"/>
            </w:pPr>
            <w:r>
              <w:rPr>
                <w:b/>
                <w:bCs/>
              </w:rPr>
              <w:t xml:space="preserve">$1.64</w:t>
            </w:r>
          </w:p>
        </w:tc>
      </w:tr>
    </w:tbl>
    <w:p>
      <w:pPr>
        <w:pStyle w:val="BodyText"/>
      </w:pPr>
      <w:r>
        <w:t xml:space="preserve">The consensus figures are close to what is implied by Clorox’s full-year guidance. Analysts expect approximately $1.914 billion in revenue and $1.64 of EPS. (</w:t>
      </w:r>
      <w:hyperlink r:id="rId11">
        <w:r>
          <w:rPr>
            <w:rStyle w:val="Hyperlink"/>
          </w:rPr>
          <w:t xml:space="preserve">tipranks.com</w:t>
        </w:r>
      </w:hyperlink>
      <w:r>
        <w:t xml:space="preserve">)</w:t>
      </w:r>
    </w:p>
    <w:p>
      <w:pPr>
        <w:pStyle w:val="BodyText"/>
      </w:pPr>
      <w:r>
        <w:t xml:space="preserve">After Q3, Clorox guided to:</w:t>
      </w:r>
    </w:p>
    <w:p>
      <w:pPr>
        <w:pStyle w:val="Compact"/>
        <w:numPr>
          <w:ilvl w:val="0"/>
          <w:numId w:val="1002"/>
        </w:numPr>
      </w:pPr>
      <w:r>
        <w:t xml:space="preserve">Full-year reported sales down approximately</w:t>
      </w:r>
      <w:r>
        <w:t xml:space="preserve"> </w:t>
      </w:r>
      <w:r>
        <w:rPr>
          <w:b/>
          <w:bCs/>
        </w:rPr>
        <w:t xml:space="preserve">6%</w:t>
      </w:r>
    </w:p>
    <w:p>
      <w:pPr>
        <w:pStyle w:val="Compact"/>
        <w:numPr>
          <w:ilvl w:val="0"/>
          <w:numId w:val="1002"/>
        </w:numPr>
      </w:pPr>
      <w:r>
        <w:t xml:space="preserve">Organic sales down approximately</w:t>
      </w:r>
      <w:r>
        <w:t xml:space="preserve"> </w:t>
      </w:r>
      <w:r>
        <w:rPr>
          <w:b/>
          <w:bCs/>
        </w:rPr>
        <w:t xml:space="preserve">9%</w:t>
      </w:r>
    </w:p>
    <w:p>
      <w:pPr>
        <w:pStyle w:val="Compact"/>
        <w:numPr>
          <w:ilvl w:val="0"/>
          <w:numId w:val="1002"/>
        </w:numPr>
      </w:pPr>
      <w:r>
        <w:t xml:space="preserve">Gross margin down</w:t>
      </w:r>
      <w:r>
        <w:t xml:space="preserve"> </w:t>
      </w:r>
      <w:r>
        <w:rPr>
          <w:b/>
          <w:bCs/>
        </w:rPr>
        <w:t xml:space="preserve">250–300 basis points</w:t>
      </w:r>
    </w:p>
    <w:p>
      <w:pPr>
        <w:pStyle w:val="Compact"/>
        <w:numPr>
          <w:ilvl w:val="0"/>
          <w:numId w:val="1002"/>
        </w:numPr>
      </w:pPr>
      <w:r>
        <w:t xml:space="preserve">GAAP EPS of</w:t>
      </w:r>
      <w:r>
        <w:t xml:space="preserve"> </w:t>
      </w:r>
      <m:oMath>
        <m:r>
          <m:t>4.78</m:t>
        </m:r>
        <m:r>
          <m:rPr>
            <m:sty m:val="p"/>
          </m:rPr>
          <m:t>–</m:t>
        </m:r>
      </m:oMath>
      <w:r>
        <w:rPr>
          <w:b/>
          <w:bCs/>
        </w:rPr>
        <w:t xml:space="preserve">4.98</w:t>
      </w:r>
    </w:p>
    <w:p>
      <w:pPr>
        <w:pStyle w:val="Compact"/>
        <w:numPr>
          <w:ilvl w:val="0"/>
          <w:numId w:val="1002"/>
        </w:numPr>
      </w:pPr>
      <w:r>
        <w:t xml:space="preserve">Adjusted EPS of</w:t>
      </w:r>
      <w:r>
        <w:t xml:space="preserve"> </w:t>
      </w:r>
      <m:oMath>
        <m:r>
          <m:t>5.45</m:t>
        </m:r>
        <m:r>
          <m:rPr>
            <m:sty m:val="p"/>
          </m:rPr>
          <m:t>–</m:t>
        </m:r>
      </m:oMath>
      <w:r>
        <w:rPr>
          <w:b/>
          <w:bCs/>
        </w:rPr>
        <w:t xml:space="preserve">5.65</w:t>
      </w:r>
    </w:p>
    <w:p>
      <w:pPr>
        <w:pStyle w:val="FirstParagraph"/>
      </w:pPr>
      <w:r>
        <w:t xml:space="preserve">Clorox had generated $3.47 of GAAP EPS and approximately $3.88 of adjusted EPS through the first nine months. That implies the following Q4 ranges: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Implied Q4 from FY guidance</w:t>
            </w:r>
          </w:p>
        </w:tc>
        <w:tc>
          <w:tcPr/>
          <w:p>
            <w:pPr>
              <w:pStyle w:val="Compact"/>
              <w:jc w:val="right"/>
            </w:pPr>
            <w:r>
              <w:t xml:space="preserve">Range</w:t>
            </w:r>
          </w:p>
        </w:tc>
      </w:tr>
      <w:tr>
        <w:tc>
          <w:tcPr/>
          <w:p>
            <w:pPr>
              <w:pStyle w:val="Compact"/>
            </w:pPr>
            <w:r>
              <w:t xml:space="preserve">GAAP EPS</w:t>
            </w:r>
          </w:p>
        </w:tc>
        <w:tc>
          <w:tcPr/>
          <w:p>
            <w:pPr>
              <w:pStyle w:val="Compact"/>
              <w:jc w:val="right"/>
            </w:pPr>
            <m:oMath>
              <m:r>
                <m:t>1.31</m:t>
              </m:r>
              <m:r>
                <m:rPr>
                  <m:sty m:val="p"/>
                </m:rPr>
                <m:t>–</m:t>
              </m:r>
            </m:oMath>
            <w:r>
              <w:rPr>
                <w:b/>
                <w:bCs/>
              </w:rPr>
              <w:t xml:space="preserve">1.51</w:t>
            </w:r>
          </w:p>
        </w:tc>
      </w:tr>
      <w:tr>
        <w:tc>
          <w:tcPr/>
          <w:p>
            <w:pPr>
              <w:pStyle w:val="Compact"/>
            </w:pPr>
            <w:r>
              <w:t xml:space="preserve">Adjusted EPS</w:t>
            </w:r>
          </w:p>
        </w:tc>
        <w:tc>
          <w:tcPr/>
          <w:p>
            <w:pPr>
              <w:pStyle w:val="Compact"/>
              <w:jc w:val="right"/>
            </w:pPr>
            <m:oMath>
              <m:r>
                <m:t>1.57</m:t>
              </m:r>
              <m:r>
                <m:rPr>
                  <m:sty m:val="p"/>
                </m:rPr>
                <m:t>–</m:t>
              </m:r>
            </m:oMath>
            <w:r>
              <w:rPr>
                <w:b/>
                <w:bCs/>
              </w:rPr>
              <w:t xml:space="preserve">1.77</w:t>
            </w:r>
          </w:p>
        </w:tc>
      </w:tr>
      <w:tr>
        <w:tc>
          <w:tcPr/>
          <w:p>
            <w:pPr>
              <w:pStyle w:val="Compact"/>
            </w:pPr>
            <w:r>
              <w:t xml:space="preserve">Approximate revenue</w:t>
            </w:r>
          </w:p>
        </w:tc>
        <w:tc>
          <w:tcPr/>
          <w:p>
            <w:pPr>
              <w:pStyle w:val="Compact"/>
              <w:jc w:val="right"/>
            </w:pPr>
            <w:r>
              <w:rPr>
                <w:b/>
                <w:bCs/>
              </w:rPr>
              <w:t xml:space="preserve">$1.90 billion</w:t>
            </w:r>
          </w:p>
        </w:tc>
      </w:tr>
    </w:tbl>
    <w:p>
      <w:pPr>
        <w:pStyle w:val="BodyText"/>
      </w:pPr>
      <w:r>
        <w:t xml:space="preserve">Thus, consensus sits near the middle of the adjusted-EPS range and very close to the revenue implied by guidance. The principal risk is not necessarily a Q4 miss; it is an FY2027 outlook that suggests the current cost and market-share problems will persist.</w:t>
      </w:r>
    </w:p>
    <w:p>
      <w:r>
        <w:pict>
          <v:rect style="width:0;height:1.5pt" o:hralign="center" o:hrstd="t" o:hr="t"/>
        </w:pict>
      </w:r>
    </w:p>
    <w:bookmarkEnd w:id="12"/>
    <w:bookmarkStart w:id="17" w:name="Xc2c369b0827c7c156f8294e3a3d77745c80b843"/>
    <w:p>
      <w:pPr>
        <w:pStyle w:val="Heading2"/>
      </w:pPr>
      <w:r>
        <w:t xml:space="preserve">Why the reported sales comparison will look poor</w:t>
      </w:r>
    </w:p>
    <w:p>
      <w:pPr>
        <w:pStyle w:val="FirstParagraph"/>
      </w:pPr>
      <w:r>
        <w:t xml:space="preserve">Clorox’s underlying Q4 sales performance will be obscured by two major items:</w:t>
      </w:r>
    </w:p>
    <w:bookmarkStart w:id="14" w:name="Xb2b405d3d9899908fc08e8447876d6a0dd7cbf9"/>
    <w:p>
      <w:pPr>
        <w:pStyle w:val="Heading3"/>
      </w:pPr>
      <w:r>
        <w:t xml:space="preserve">1. The ERP shipment comparison</w:t>
      </w:r>
    </w:p>
    <w:p>
      <w:pPr>
        <w:pStyle w:val="FirstParagraph"/>
      </w:pPr>
      <w:r>
        <w:t xml:space="preserve">Ahead of last year’s ERP conversion, retailers built approximately two weeks of inventory. That inflated fiscal Q4 2025 shipments and subsequently depressed fiscal 2026 shipments as retailers worked through the inventory.</w:t>
      </w:r>
    </w:p>
    <w:p>
      <w:pPr>
        <w:pStyle w:val="BodyText"/>
      </w:pPr>
      <w:r>
        <w:t xml:space="preserve">Management estimates that this dynamic reduced FY2026 sales growth by approximately</w:t>
      </w:r>
      <w:r>
        <w:t xml:space="preserve"> </w:t>
      </w:r>
      <w:r>
        <w:rPr>
          <w:b/>
          <w:bCs/>
        </w:rPr>
        <w:t xml:space="preserve">7.5 percentage points</w:t>
      </w:r>
      <w:r>
        <w:t xml:space="preserve"> </w:t>
      </w:r>
      <w:r>
        <w:t xml:space="preserve">and adjusted EPS by about</w:t>
      </w:r>
      <w:r>
        <w:t xml:space="preserve"> </w:t>
      </w:r>
      <w:r>
        <w:rPr>
          <w:b/>
          <w:bCs/>
        </w:rPr>
        <w:t xml:space="preserve">$0.90</w:t>
      </w:r>
      <w:r>
        <w:t xml:space="preserve">. This is a comparison issue rather than a fresh deterioration in end demand, but it makes reported growth difficult to interpret. (</w:t>
      </w:r>
      <w:hyperlink r:id="rId13">
        <w:r>
          <w:rPr>
            <w:rStyle w:val="Hyperlink"/>
          </w:rPr>
          <w:t xml:space="preserve">investors.thecloroxcompany.com</w:t>
        </w:r>
      </w:hyperlink>
      <w:r>
        <w:t xml:space="preserve">)</w:t>
      </w:r>
    </w:p>
    <w:p>
      <w:pPr>
        <w:pStyle w:val="BodyText"/>
      </w:pPr>
      <w:r>
        <w:t xml:space="preserve">Investors should focus on:</w:t>
      </w:r>
    </w:p>
    <w:p>
      <w:pPr>
        <w:pStyle w:val="Compact"/>
        <w:numPr>
          <w:ilvl w:val="0"/>
          <w:numId w:val="1003"/>
        </w:numPr>
      </w:pPr>
      <w:r>
        <w:t xml:space="preserve">Consumption rather than shipments</w:t>
      </w:r>
    </w:p>
    <w:p>
      <w:pPr>
        <w:pStyle w:val="Compact"/>
        <w:numPr>
          <w:ilvl w:val="0"/>
          <w:numId w:val="1003"/>
        </w:numPr>
      </w:pPr>
      <w:r>
        <w:t xml:space="preserve">Retailer inventory levels</w:t>
      </w:r>
    </w:p>
    <w:p>
      <w:pPr>
        <w:pStyle w:val="Compact"/>
        <w:numPr>
          <w:ilvl w:val="0"/>
          <w:numId w:val="1003"/>
        </w:numPr>
      </w:pPr>
      <w:r>
        <w:t xml:space="preserve">Market share</w:t>
      </w:r>
    </w:p>
    <w:p>
      <w:pPr>
        <w:pStyle w:val="Compact"/>
        <w:numPr>
          <w:ilvl w:val="0"/>
          <w:numId w:val="1003"/>
        </w:numPr>
      </w:pPr>
      <w:r>
        <w:t xml:space="preserve">Distribution points</w:t>
      </w:r>
    </w:p>
    <w:p>
      <w:pPr>
        <w:pStyle w:val="Compact"/>
        <w:numPr>
          <w:ilvl w:val="0"/>
          <w:numId w:val="1003"/>
        </w:numPr>
      </w:pPr>
      <w:r>
        <w:t xml:space="preserve">On-shelf availability</w:t>
      </w:r>
    </w:p>
    <w:p>
      <w:pPr>
        <w:pStyle w:val="Compact"/>
        <w:numPr>
          <w:ilvl w:val="0"/>
          <w:numId w:val="1003"/>
        </w:numPr>
      </w:pPr>
      <w:r>
        <w:t xml:space="preserve">Whether any shipment timing shifts into or out of fiscal Q1 2027</w:t>
      </w:r>
    </w:p>
    <w:bookmarkEnd w:id="14"/>
    <w:bookmarkStart w:id="16" w:name="X294f7a3136ff68b95ed56df349b95707c2426ac"/>
    <w:p>
      <w:pPr>
        <w:pStyle w:val="Heading3"/>
      </w:pPr>
      <w:r>
        <w:t xml:space="preserve">2. GOJO adds inorganic growth</w:t>
      </w:r>
    </w:p>
    <w:p>
      <w:pPr>
        <w:pStyle w:val="FirstParagraph"/>
      </w:pPr>
      <w:r>
        <w:t xml:space="preserve">Clorox completed the GOJO acquisition on April 1, adding Purell and GOJO’s professional health-and-hygiene business. Q4 therefore includes the first full quarter of GOJO results. (</w:t>
      </w:r>
      <w:hyperlink r:id="rId15">
        <w:r>
          <w:rPr>
            <w:rStyle w:val="Hyperlink"/>
          </w:rPr>
          <w:t xml:space="preserve">investors.thecloroxcompany.com</w:t>
        </w:r>
      </w:hyperlink>
      <w:r>
        <w:t xml:space="preserve">)</w:t>
      </w:r>
    </w:p>
    <w:p>
      <w:pPr>
        <w:pStyle w:val="BodyText"/>
      </w:pPr>
      <w:r>
        <w:t xml:space="preserve">Management previously expected GOJO to contribute approximately:</w:t>
      </w:r>
    </w:p>
    <w:p>
      <w:pPr>
        <w:pStyle w:val="Compact"/>
        <w:numPr>
          <w:ilvl w:val="0"/>
          <w:numId w:val="1004"/>
        </w:numPr>
      </w:pPr>
      <w:r>
        <w:rPr>
          <w:b/>
          <w:bCs/>
        </w:rPr>
        <w:t xml:space="preserve">$200 million</w:t>
      </w:r>
      <w:r>
        <w:t xml:space="preserve"> </w:t>
      </w:r>
      <w:r>
        <w:t xml:space="preserve">of Q4 sales</w:t>
      </w:r>
    </w:p>
    <w:p>
      <w:pPr>
        <w:pStyle w:val="Compact"/>
        <w:numPr>
          <w:ilvl w:val="0"/>
          <w:numId w:val="1004"/>
        </w:numPr>
      </w:pPr>
      <w:r>
        <w:t xml:space="preserve">Roughly</w:t>
      </w:r>
      <w:r>
        <w:t xml:space="preserve"> </w:t>
      </w:r>
      <w:r>
        <w:rPr>
          <w:b/>
          <w:bCs/>
        </w:rPr>
        <w:t xml:space="preserve">10 percentage points</w:t>
      </w:r>
      <w:r>
        <w:t xml:space="preserve"> </w:t>
      </w:r>
      <w:r>
        <w:t xml:space="preserve">to Q4 reported growth</w:t>
      </w:r>
    </w:p>
    <w:p>
      <w:pPr>
        <w:pStyle w:val="Compact"/>
        <w:numPr>
          <w:ilvl w:val="0"/>
          <w:numId w:val="1004"/>
        </w:numPr>
      </w:pPr>
      <w:r>
        <w:t xml:space="preserve">Approximately</w:t>
      </w:r>
      <w:r>
        <w:t xml:space="preserve"> </w:t>
      </w:r>
      <w:r>
        <w:rPr>
          <w:b/>
          <w:bCs/>
        </w:rPr>
        <w:t xml:space="preserve">3 percentage points</w:t>
      </w:r>
      <w:r>
        <w:t xml:space="preserve"> </w:t>
      </w:r>
      <w:r>
        <w:t xml:space="preserve">to full-year growth</w:t>
      </w:r>
    </w:p>
    <w:p>
      <w:pPr>
        <w:pStyle w:val="Compact"/>
        <w:numPr>
          <w:ilvl w:val="0"/>
          <w:numId w:val="1004"/>
        </w:numPr>
      </w:pPr>
      <m:oMath>
        <m:r>
          <m:t>0.02</m:t>
        </m:r>
        <m:r>
          <m:rPr>
            <m:sty m:val="p"/>
          </m:rPr>
          <m:t>–</m:t>
        </m:r>
      </m:oMath>
      <w:r>
        <w:rPr>
          <w:b/>
          <w:bCs/>
        </w:rPr>
        <w:t xml:space="preserve">0.04</w:t>
      </w:r>
      <w:r>
        <w:t xml:space="preserve"> </w:t>
      </w:r>
      <w:r>
        <w:t xml:space="preserve">of adjusted-EPS dilution in FY2026</w:t>
      </w:r>
    </w:p>
    <w:p>
      <w:pPr>
        <w:pStyle w:val="FirstParagraph"/>
      </w:pPr>
      <w:r>
        <w:t xml:space="preserve">Reported revenue near $1.9 billion would therefore still imply a sharp decline in the legacy business against the ERP-inflated comparison. Investors should not mistake the GOJO contribution for an organic acceleration.</w:t>
      </w:r>
    </w:p>
    <w:p>
      <w:r>
        <w:pict>
          <v:rect style="width:0;height:1.5pt" o:hralign="center" o:hrstd="t" o:hr="t"/>
        </w:pict>
      </w:r>
    </w:p>
    <w:bookmarkEnd w:id="16"/>
    <w:bookmarkEnd w:id="17"/>
    <w:bookmarkStart w:id="19" w:name="X367a9ee5d382380aa53c0d7a48d15613f452ed4"/>
    <w:p>
      <w:pPr>
        <w:pStyle w:val="Heading2"/>
      </w:pPr>
      <w:r>
        <w:t xml:space="preserve">Gross margin is the central financial issue</w:t>
      </w:r>
    </w:p>
    <w:p>
      <w:pPr>
        <w:pStyle w:val="FirstParagraph"/>
      </w:pPr>
      <w:r>
        <w:t xml:space="preserve">Management indicated that Q4 gross margin could decline approximately</w:t>
      </w:r>
      <w:r>
        <w:t xml:space="preserve"> </w:t>
      </w:r>
      <w:r>
        <w:rPr>
          <w:b/>
          <w:bCs/>
        </w:rPr>
        <w:t xml:space="preserve">500 basis points</w:t>
      </w:r>
      <w:r>
        <w:t xml:space="preserve"> </w:t>
      </w:r>
      <w:r>
        <w:t xml:space="preserve">year over year. The main components are:</w:t>
      </w:r>
    </w:p>
    <w:p>
      <w:pPr>
        <w:pStyle w:val="Compact"/>
        <w:numPr>
          <w:ilvl w:val="0"/>
          <w:numId w:val="1005"/>
        </w:numPr>
      </w:pPr>
      <w:r>
        <w:t xml:space="preserve">Approximately</w:t>
      </w:r>
      <w:r>
        <w:t xml:space="preserve"> </w:t>
      </w:r>
      <w:r>
        <w:rPr>
          <w:b/>
          <w:bCs/>
        </w:rPr>
        <w:t xml:space="preserve">150 basis points</w:t>
      </w:r>
      <w:r>
        <w:t xml:space="preserve"> </w:t>
      </w:r>
      <w:r>
        <w:t xml:space="preserve">from lapping favorable ERP-related volume and operating leverage</w:t>
      </w:r>
    </w:p>
    <w:p>
      <w:pPr>
        <w:pStyle w:val="Compact"/>
        <w:numPr>
          <w:ilvl w:val="0"/>
          <w:numId w:val="1005"/>
        </w:numPr>
      </w:pPr>
      <w:r>
        <w:t xml:space="preserve">Approximately</w:t>
      </w:r>
      <w:r>
        <w:t xml:space="preserve"> </w:t>
      </w:r>
      <w:r>
        <w:rPr>
          <w:b/>
          <w:bCs/>
        </w:rPr>
        <w:t xml:space="preserve">200 basis points</w:t>
      </w:r>
      <w:r>
        <w:t xml:space="preserve"> </w:t>
      </w:r>
      <w:r>
        <w:t xml:space="preserve">from GOJO:</w:t>
      </w:r>
    </w:p>
    <w:p>
      <w:pPr>
        <w:pStyle w:val="Compact"/>
        <w:numPr>
          <w:ilvl w:val="1"/>
          <w:numId w:val="1006"/>
        </w:numPr>
      </w:pPr>
      <w:r>
        <w:t xml:space="preserve">Roughly 150 basis points of one-time inventory step-up expense</w:t>
      </w:r>
    </w:p>
    <w:p>
      <w:pPr>
        <w:pStyle w:val="Compact"/>
        <w:numPr>
          <w:ilvl w:val="1"/>
          <w:numId w:val="1006"/>
        </w:numPr>
      </w:pPr>
      <w:r>
        <w:t xml:space="preserve">Roughly 50 basis points from GOJO’s structurally lower gross-margin profile</w:t>
      </w:r>
    </w:p>
    <w:p>
      <w:pPr>
        <w:pStyle w:val="Compact"/>
        <w:numPr>
          <w:ilvl w:val="0"/>
          <w:numId w:val="1005"/>
        </w:numPr>
      </w:pPr>
      <w:r>
        <w:t xml:space="preserve">Approximately</w:t>
      </w:r>
      <w:r>
        <w:t xml:space="preserve"> </w:t>
      </w:r>
      <w:r>
        <w:rPr>
          <w:b/>
          <w:bCs/>
        </w:rPr>
        <w:t xml:space="preserve">100–150 basis points</w:t>
      </w:r>
      <w:r>
        <w:t xml:space="preserve"> </w:t>
      </w:r>
      <w:r>
        <w:t xml:space="preserve">from elevated energy and related input costs</w:t>
      </w:r>
    </w:p>
    <w:p>
      <w:pPr>
        <w:pStyle w:val="Compact"/>
        <w:numPr>
          <w:ilvl w:val="0"/>
          <w:numId w:val="1005"/>
        </w:numPr>
      </w:pPr>
      <w:r>
        <w:t xml:space="preserve">Additional spending associated with accelerating a large supply-chain savings project</w:t>
      </w:r>
    </w:p>
    <w:p>
      <w:pPr>
        <w:pStyle w:val="FirstParagraph"/>
      </w:pPr>
      <w:r>
        <w:t xml:space="preserve">A large portion of the decline is therefore temporary or acquisition-accounting related. However, investors need to separate those effects from the underlying trajectory.</w:t>
      </w:r>
    </w:p>
    <w:bookmarkStart w:id="18" w:name="Xd54f6bdaf72ebb5371ce5142357076252d3b24e"/>
    <w:p>
      <w:pPr>
        <w:pStyle w:val="Heading3"/>
      </w:pPr>
      <w:r>
        <w:t xml:space="preserve">What would constitute a good margin result?</w:t>
      </w:r>
    </w:p>
    <w:p>
      <w:pPr>
        <w:pStyle w:val="FirstParagraph"/>
      </w:pPr>
      <w:r>
        <w:t xml:space="preserve">A constructive report would show:</w:t>
      </w:r>
    </w:p>
    <w:p>
      <w:pPr>
        <w:pStyle w:val="Compact"/>
        <w:numPr>
          <w:ilvl w:val="0"/>
          <w:numId w:val="1007"/>
        </w:numPr>
      </w:pPr>
      <w:r>
        <w:t xml:space="preserve">Q4 gross margin no worse than management’s framework</w:t>
      </w:r>
    </w:p>
    <w:p>
      <w:pPr>
        <w:pStyle w:val="Compact"/>
        <w:numPr>
          <w:ilvl w:val="0"/>
          <w:numId w:val="1007"/>
        </w:numPr>
      </w:pPr>
      <w:r>
        <w:t xml:space="preserve">ERP stabilization costs largely eliminated</w:t>
      </w:r>
    </w:p>
    <w:p>
      <w:pPr>
        <w:pStyle w:val="Compact"/>
        <w:numPr>
          <w:ilvl w:val="0"/>
          <w:numId w:val="1007"/>
        </w:numPr>
      </w:pPr>
      <w:r>
        <w:t xml:space="preserve">Delayed savings beginning to come through</w:t>
      </w:r>
    </w:p>
    <w:p>
      <w:pPr>
        <w:pStyle w:val="Compact"/>
        <w:numPr>
          <w:ilvl w:val="0"/>
          <w:numId w:val="1007"/>
        </w:numPr>
      </w:pPr>
      <w:r>
        <w:t xml:space="preserve">A measurable FY2027 productivity pipeline</w:t>
      </w:r>
    </w:p>
    <w:p>
      <w:pPr>
        <w:pStyle w:val="Compact"/>
        <w:numPr>
          <w:ilvl w:val="0"/>
          <w:numId w:val="1007"/>
        </w:numPr>
      </w:pPr>
      <w:r>
        <w:t xml:space="preserve">Specific mitigation for resin, fuel, transportation and packaging costs</w:t>
      </w:r>
    </w:p>
    <w:p>
      <w:pPr>
        <w:pStyle w:val="Compact"/>
        <w:numPr>
          <w:ilvl w:val="0"/>
          <w:numId w:val="1007"/>
        </w:numPr>
      </w:pPr>
      <w:r>
        <w:t xml:space="preserve">Confidence that GOJO’s gross margin can rise as synergies are realized</w:t>
      </w:r>
    </w:p>
    <w:p>
      <w:pPr>
        <w:pStyle w:val="FirstParagraph"/>
      </w:pPr>
      <w:r>
        <w:t xml:space="preserve">The concern is that management entered Q4 assuming oil of roughly</w:t>
      </w:r>
      <w:r>
        <w:t xml:space="preserve"> </w:t>
      </w:r>
      <m:oMath>
        <m:r>
          <m:t>100</m:t>
        </m:r>
        <m:r>
          <m:t>p</m:t>
        </m:r>
        <m:r>
          <m:t>e</m:t>
        </m:r>
        <m:r>
          <m:t>r</m:t>
        </m:r>
        <m:r>
          <m:t>b</m:t>
        </m:r>
        <m:r>
          <m:t>a</m:t>
        </m:r>
        <m:r>
          <m:t>r</m:t>
        </m:r>
        <m:r>
          <m:t>r</m:t>
        </m:r>
        <m:r>
          <m:t>e</m:t>
        </m:r>
        <m:r>
          <m:t>l</m:t>
        </m:r>
        <m:r>
          <m:t>a</m:t>
        </m:r>
        <m:r>
          <m:t>n</m:t>
        </m:r>
        <m:r>
          <m:t>d</m:t>
        </m:r>
        <m:r>
          <m:t>e</m:t>
        </m:r>
        <m:r>
          <m:t>s</m:t>
        </m:r>
        <m:r>
          <m:t>t</m:t>
        </m:r>
        <m:r>
          <m:t>i</m:t>
        </m:r>
        <m:r>
          <m:t>m</m:t>
        </m:r>
        <m:r>
          <m:t>a</m:t>
        </m:r>
        <m:r>
          <m:t>t</m:t>
        </m:r>
        <m:r>
          <m:t>e</m:t>
        </m:r>
        <m:r>
          <m:t>d</m:t>
        </m:r>
        <m:r>
          <m:t>a</m:t>
        </m:r>
        <m:r>
          <m:rPr>
            <m:sty m:val="p"/>
          </m:rPr>
          <m:t>*</m:t>
        </m:r>
        <m:r>
          <m:rPr>
            <m:sty m:val="p"/>
          </m:rPr>
          <m:t>*</m:t>
        </m:r>
      </m:oMath>
      <w:r>
        <w:t xml:space="preserve">20–$25 million quarterly headwind**, before meaningful mitigation. If that cost environment persists, the annualized exposure could be significant—particularly for Glad, given its resin sensitivity.</w:t>
      </w:r>
    </w:p>
    <w:p>
      <w:r>
        <w:pict>
          <v:rect style="width:0;height:1.5pt" o:hralign="center" o:hrstd="t" o:hr="t"/>
        </w:pict>
      </w:r>
    </w:p>
    <w:bookmarkEnd w:id="18"/>
    <w:bookmarkEnd w:id="19"/>
    <w:bookmarkStart w:id="24" w:name="the-four-operating-areas-to-watch"/>
    <w:p>
      <w:pPr>
        <w:pStyle w:val="Heading2"/>
      </w:pPr>
      <w:r>
        <w:t xml:space="preserve">The four operating areas to watch</w:t>
      </w:r>
    </w:p>
    <w:bookmarkStart w:id="20" w:name="X56daa23d47a833ff5b5d8de3ab08a986fe6288b"/>
    <w:p>
      <w:pPr>
        <w:pStyle w:val="Heading3"/>
      </w:pPr>
      <w:r>
        <w:t xml:space="preserve">1. Health &amp; Wellness: the strongest legacy business, plus GOJO</w:t>
      </w:r>
    </w:p>
    <w:p>
      <w:pPr>
        <w:pStyle w:val="FirstParagraph"/>
      </w:pPr>
      <w:r>
        <w:t xml:space="preserve">Cleaning was one of the stronger areas entering Q4. Clorox PURE and scent-oriented innovation were reportedly performing well, and the company had continued gaining share despite a competitive promotional environment.</w:t>
      </w:r>
    </w:p>
    <w:p>
      <w:pPr>
        <w:pStyle w:val="BodyText"/>
      </w:pPr>
      <w:r>
        <w:t xml:space="preserve">The main questions are:</w:t>
      </w:r>
    </w:p>
    <w:p>
      <w:pPr>
        <w:pStyle w:val="Compact"/>
        <w:numPr>
          <w:ilvl w:val="0"/>
          <w:numId w:val="1008"/>
        </w:numPr>
      </w:pPr>
      <w:r>
        <w:t xml:space="preserve">Are Clorox cleaning products still gaining share?</w:t>
      </w:r>
    </w:p>
    <w:p>
      <w:pPr>
        <w:pStyle w:val="Compact"/>
        <w:numPr>
          <w:ilvl w:val="0"/>
          <w:numId w:val="1008"/>
        </w:numPr>
      </w:pPr>
      <w:r>
        <w:t xml:space="preserve">Are PURE velocities remaining above plan after the initial launch?</w:t>
      </w:r>
    </w:p>
    <w:p>
      <w:pPr>
        <w:pStyle w:val="Compact"/>
        <w:numPr>
          <w:ilvl w:val="0"/>
          <w:numId w:val="1008"/>
        </w:numPr>
      </w:pPr>
      <w:r>
        <w:t xml:space="preserve">Has professional cleaning demand held up?</w:t>
      </w:r>
    </w:p>
    <w:p>
      <w:pPr>
        <w:pStyle w:val="Compact"/>
        <w:numPr>
          <w:ilvl w:val="0"/>
          <w:numId w:val="1008"/>
        </w:numPr>
      </w:pPr>
      <w:r>
        <w:t xml:space="preserve">Is GOJO still growing at a mid-single-digit rate?</w:t>
      </w:r>
    </w:p>
    <w:p>
      <w:pPr>
        <w:pStyle w:val="Compact"/>
        <w:numPr>
          <w:ilvl w:val="0"/>
          <w:numId w:val="1008"/>
        </w:numPr>
      </w:pPr>
      <w:r>
        <w:t xml:space="preserve">Are customer retention and service levels stable during integration?</w:t>
      </w:r>
    </w:p>
    <w:p>
      <w:pPr>
        <w:pStyle w:val="FirstParagraph"/>
      </w:pPr>
      <w:r>
        <w:t xml:space="preserve">Management has described GOJO as an approximately</w:t>
      </w:r>
      <w:r>
        <w:t xml:space="preserve"> </w:t>
      </w:r>
      <m:oMath>
        <m:r>
          <m:t>800</m:t>
        </m:r>
        <m:r>
          <m:t>m</m:t>
        </m:r>
        <m:r>
          <m:t>i</m:t>
        </m:r>
        <m:r>
          <m:t>l</m:t>
        </m:r>
        <m:r>
          <m:t>l</m:t>
        </m:r>
        <m:r>
          <m:t>i</m:t>
        </m:r>
        <m:r>
          <m:t>o</m:t>
        </m:r>
        <m:r>
          <m:t>n</m:t>
        </m:r>
        <m:r>
          <m:t>b</m:t>
        </m:r>
        <m:r>
          <m:t>u</m:t>
        </m:r>
        <m:r>
          <m:t>s</m:t>
        </m:r>
        <m:r>
          <m:t>i</m:t>
        </m:r>
        <m:r>
          <m:t>n</m:t>
        </m:r>
        <m:r>
          <m:t>e</m:t>
        </m:r>
        <m:r>
          <m:t>s</m:t>
        </m:r>
        <m:r>
          <m:t>s</m:t>
        </m:r>
        <m:r>
          <m:rPr>
            <m:sty m:val="p"/>
          </m:rPr>
          <m:t>*</m:t>
        </m:r>
        <m:r>
          <m:rPr>
            <m:sty m:val="p"/>
          </m:rPr>
          <m:t>*</m:t>
        </m:r>
        <m:r>
          <m:rPr>
            <m:sty m:val="p"/>
          </m:rPr>
          <m:t>,</m:t>
        </m:r>
        <m:r>
          <m:t>l</m:t>
        </m:r>
        <m:r>
          <m:t>a</m:t>
        </m:r>
        <m:r>
          <m:t>r</m:t>
        </m:r>
        <m:r>
          <m:t>g</m:t>
        </m:r>
        <m:r>
          <m:t>e</m:t>
        </m:r>
        <m:r>
          <m:t>l</m:t>
        </m:r>
        <m:r>
          <m:t>y</m:t>
        </m:r>
        <m:r>
          <m:t>B</m:t>
        </m:r>
        <m:r>
          <m:t>2</m:t>
        </m:r>
        <m:r>
          <m:t>B</m:t>
        </m:r>
        <m:r>
          <m:rPr>
            <m:sty m:val="p"/>
          </m:rPr>
          <m:t>,</m:t>
        </m:r>
        <m:r>
          <m:t>w</m:t>
        </m:r>
        <m:r>
          <m:t>i</m:t>
        </m:r>
        <m:r>
          <m:t>t</m:t>
        </m:r>
        <m:r>
          <m:t>h</m:t>
        </m:r>
        <m:r>
          <m:t>E</m:t>
        </m:r>
        <m:r>
          <m:t>B</m:t>
        </m:r>
        <m:r>
          <m:t>I</m:t>
        </m:r>
        <m:r>
          <m:t>T</m:t>
        </m:r>
        <m:r>
          <m:t>D</m:t>
        </m:r>
        <m:r>
          <m:t>A</m:t>
        </m:r>
        <m:r>
          <m:t>m</m:t>
        </m:r>
        <m:r>
          <m:t>a</m:t>
        </m:r>
        <m:r>
          <m:t>r</m:t>
        </m:r>
        <m:r>
          <m:t>g</m:t>
        </m:r>
        <m:r>
          <m:t>i</m:t>
        </m:r>
        <m:r>
          <m:t>n</m:t>
        </m:r>
        <m:r>
          <m:t>s</m:t>
        </m:r>
        <m:r>
          <m:t>i</m:t>
        </m:r>
        <m:r>
          <m:t>n</m:t>
        </m:r>
        <m:r>
          <m:t>i</m:t>
        </m:r>
        <m:r>
          <m:t>t</m:t>
        </m:r>
        <m:r>
          <m:t>i</m:t>
        </m:r>
        <m:r>
          <m:t>a</m:t>
        </m:r>
        <m:r>
          <m:t>l</m:t>
        </m:r>
        <m:r>
          <m:t>l</m:t>
        </m:r>
        <m:r>
          <m:t>y</m:t>
        </m:r>
        <m:r>
          <m:t>c</m:t>
        </m:r>
        <m:r>
          <m:t>o</m:t>
        </m:r>
        <m:r>
          <m:t>m</m:t>
        </m:r>
        <m:r>
          <m:t>p</m:t>
        </m:r>
        <m:r>
          <m:t>a</m:t>
        </m:r>
        <m:r>
          <m:t>r</m:t>
        </m:r>
        <m:r>
          <m:t>a</m:t>
        </m:r>
        <m:r>
          <m:t>b</m:t>
        </m:r>
        <m:r>
          <m:t>l</m:t>
        </m:r>
        <m:r>
          <m:t>e</m:t>
        </m:r>
        <m:r>
          <m:t>t</m:t>
        </m:r>
        <m:r>
          <m:t>o</m:t>
        </m:r>
        <m:r>
          <m:t>C</m:t>
        </m:r>
        <m:r>
          <m:t>l</m:t>
        </m:r>
        <m:r>
          <m:t>o</m:t>
        </m:r>
        <m:r>
          <m:t>r</m:t>
        </m:r>
        <m:r>
          <m:t>o</m:t>
        </m:r>
        <m:r>
          <m:t>x</m:t>
        </m:r>
        <m:r>
          <m:t>a</m:t>
        </m:r>
        <m:r>
          <m:t>n</m:t>
        </m:r>
        <m:r>
          <m:t>d</m:t>
        </m:r>
        <m:r>
          <m:t>a</m:t>
        </m:r>
        <m:r>
          <m:t>t</m:t>
        </m:r>
        <m:r>
          <m:t>l</m:t>
        </m:r>
        <m:r>
          <m:t>e</m:t>
        </m:r>
        <m:r>
          <m:t>a</m:t>
        </m:r>
        <m:r>
          <m:t>s</m:t>
        </m:r>
        <m:r>
          <m:t>t</m:t>
        </m:r>
        <m:r>
          <m:rPr>
            <m:sty m:val="p"/>
          </m:rPr>
          <m:t>*</m:t>
        </m:r>
        <m:r>
          <m:rPr>
            <m:sty m:val="p"/>
          </m:rPr>
          <m:t>*</m:t>
        </m:r>
      </m:oMath>
      <w:r>
        <w:rPr>
          <w:b/>
          <w:bCs/>
        </w:rPr>
        <w:t xml:space="preserve">50 million of expected run-rate cost synergies</w:t>
      </w:r>
      <w:r>
        <w:t xml:space="preserve">. The market will want those assumptions reaffirmed.</w:t>
      </w:r>
    </w:p>
    <w:bookmarkEnd w:id="20"/>
    <w:bookmarkStart w:id="21" w:name="Xdda0466638f920161f0efb6bcf904bb6125f4c2"/>
    <w:p>
      <w:pPr>
        <w:pStyle w:val="Heading3"/>
      </w:pPr>
      <w:r>
        <w:t xml:space="preserve">2. Household: Fresh Step execution and Glad economics</w:t>
      </w:r>
    </w:p>
    <w:p>
      <w:pPr>
        <w:pStyle w:val="FirstParagraph"/>
      </w:pPr>
      <w:r>
        <w:t xml:space="preserve">Household showed 3% Q3 sales growth, but some of that reflected shipments ahead of consumption in cat litter and grilling. Management expected slightly less than one percentage point of companywide shipment timing to reverse in Q4.</w:t>
      </w:r>
    </w:p>
    <w:p>
      <w:pPr>
        <w:pStyle w:val="BodyText"/>
      </w:pPr>
      <w:r>
        <w:rPr>
          <w:b/>
          <w:bCs/>
        </w:rPr>
        <w:t xml:space="preserve">Fresh Step is the most important share-recovery test.</w:t>
      </w:r>
      <w:r>
        <w:t xml:space="preserve"> </w:t>
      </w:r>
      <w:r>
        <w:t xml:space="preserve">Clorox changed product names, claims, packaging, pack sizes, pricing architecture and UPCs. Distribution increased, but shelf placement, out-of-stocks during conversion and weak early velocities complicated the rollout.</w:t>
      </w:r>
    </w:p>
    <w:p>
      <w:pPr>
        <w:pStyle w:val="BodyText"/>
      </w:pPr>
      <w:r>
        <w:t xml:space="preserve">Investors should listen for:</w:t>
      </w:r>
    </w:p>
    <w:p>
      <w:pPr>
        <w:pStyle w:val="Compact"/>
        <w:numPr>
          <w:ilvl w:val="0"/>
          <w:numId w:val="1009"/>
        </w:numPr>
      </w:pPr>
      <w:r>
        <w:t xml:space="preserve">Fresh Step consumption and share trends</w:t>
      </w:r>
    </w:p>
    <w:p>
      <w:pPr>
        <w:pStyle w:val="Compact"/>
        <w:numPr>
          <w:ilvl w:val="0"/>
          <w:numId w:val="1009"/>
        </w:numPr>
      </w:pPr>
      <w:r>
        <w:t xml:space="preserve">Whether shelf-placement issues have been corrected</w:t>
      </w:r>
    </w:p>
    <w:p>
      <w:pPr>
        <w:pStyle w:val="Compact"/>
        <w:numPr>
          <w:ilvl w:val="0"/>
          <w:numId w:val="1009"/>
        </w:numPr>
      </w:pPr>
      <w:r>
        <w:t xml:space="preserve">Repeat purchase and velocity data on reformulated products</w:t>
      </w:r>
    </w:p>
    <w:p>
      <w:pPr>
        <w:pStyle w:val="Compact"/>
        <w:numPr>
          <w:ilvl w:val="0"/>
          <w:numId w:val="1009"/>
        </w:numPr>
      </w:pPr>
      <w:r>
        <w:t xml:space="preserve">Further retailer resets or product changes</w:t>
      </w:r>
    </w:p>
    <w:p>
      <w:pPr>
        <w:pStyle w:val="Compact"/>
        <w:numPr>
          <w:ilvl w:val="0"/>
          <w:numId w:val="1009"/>
        </w:numPr>
      </w:pPr>
      <w:r>
        <w:t xml:space="preserve">The timing of a return to sustainable share growth</w:t>
      </w:r>
    </w:p>
    <w:p>
      <w:pPr>
        <w:pStyle w:val="FirstParagraph"/>
      </w:pPr>
      <w:r>
        <w:t xml:space="preserve">Glad had been improving after sharper pricing, innovation and distribution gains. The tension in FY2027 is whether resin inflation forces price increases before the share recovery is firmly established.</w:t>
      </w:r>
    </w:p>
    <w:bookmarkEnd w:id="21"/>
    <w:bookmarkStart w:id="22" w:name="X4ac30de4931b0cabc2f24a38fc75598b6199c81"/>
    <w:p>
      <w:pPr>
        <w:pStyle w:val="Heading3"/>
      </w:pPr>
      <w:r>
        <w:t xml:space="preserve">3. Lifestyle: Hidden Valley remains the weak point</w:t>
      </w:r>
    </w:p>
    <w:p>
      <w:pPr>
        <w:pStyle w:val="FirstParagraph"/>
      </w:pPr>
      <w:r>
        <w:t xml:space="preserve">Lifestyle sales fell 9% in Q3, with volume down 6%. Food-category consumption was weaker than management expected, competitors were discounting aggressively, and higher promotional spending hurt price/mix.</w:t>
      </w:r>
    </w:p>
    <w:p>
      <w:pPr>
        <w:pStyle w:val="BodyText"/>
      </w:pPr>
      <w:r>
        <w:t xml:space="preserve">Hidden Valley had begun regaining share following:</w:t>
      </w:r>
    </w:p>
    <w:p>
      <w:pPr>
        <w:pStyle w:val="Compact"/>
        <w:numPr>
          <w:ilvl w:val="0"/>
          <w:numId w:val="1010"/>
        </w:numPr>
      </w:pPr>
      <w:r>
        <w:t xml:space="preserve">The return of its familiar 16-ounce bottle</w:t>
      </w:r>
    </w:p>
    <w:p>
      <w:pPr>
        <w:pStyle w:val="Compact"/>
        <w:numPr>
          <w:ilvl w:val="0"/>
          <w:numId w:val="1010"/>
        </w:numPr>
      </w:pPr>
      <w:r>
        <w:t xml:space="preserve">Price-pack architecture changes</w:t>
      </w:r>
    </w:p>
    <w:p>
      <w:pPr>
        <w:pStyle w:val="Compact"/>
        <w:numPr>
          <w:ilvl w:val="0"/>
          <w:numId w:val="1010"/>
        </w:numPr>
      </w:pPr>
      <w:r>
        <w:t xml:space="preserve">New avocado-oil, protein-oriented and seasoning products</w:t>
      </w:r>
    </w:p>
    <w:p>
      <w:pPr>
        <w:pStyle w:val="FirstParagraph"/>
      </w:pPr>
      <w:r>
        <w:t xml:space="preserve">A good result would show the business continuing to gain share despite a still-contracting category. A poor result would be continued double-digit segment sales pressure or profitability supported mainly by lower advertising.</w:t>
      </w:r>
    </w:p>
    <w:p>
      <w:pPr>
        <w:pStyle w:val="BodyText"/>
      </w:pPr>
      <w:r>
        <w:t xml:space="preserve">Brita is another area to monitor because management had identified growing private-label pressure.</w:t>
      </w:r>
    </w:p>
    <w:bookmarkEnd w:id="22"/>
    <w:bookmarkStart w:id="23" w:name="X045cacd3e5669759673c074a5b1f21e30318f8b"/>
    <w:p>
      <w:pPr>
        <w:pStyle w:val="Heading3"/>
      </w:pPr>
      <w:r>
        <w:t xml:space="preserve">4. International: quietly delivering</w:t>
      </w:r>
    </w:p>
    <w:p>
      <w:pPr>
        <w:pStyle w:val="FirstParagraph"/>
      </w:pPr>
      <w:r>
        <w:t xml:space="preserve">International was the strongest Q3 segment on a reported basis, with sales up 8%, organic sales up 2% and adjusted EBIT up 16%. Currency provided a material benefit, but volume was also positive.</w:t>
      </w:r>
    </w:p>
    <w:p>
      <w:pPr>
        <w:pStyle w:val="BodyText"/>
      </w:pPr>
      <w:r>
        <w:t xml:space="preserve">Investors should distinguish:</w:t>
      </w:r>
    </w:p>
    <w:p>
      <w:pPr>
        <w:pStyle w:val="Compact"/>
        <w:numPr>
          <w:ilvl w:val="0"/>
          <w:numId w:val="1011"/>
        </w:numPr>
      </w:pPr>
      <w:r>
        <w:t xml:space="preserve">Organic growth from currency translation</w:t>
      </w:r>
    </w:p>
    <w:p>
      <w:pPr>
        <w:pStyle w:val="Compact"/>
        <w:numPr>
          <w:ilvl w:val="0"/>
          <w:numId w:val="1011"/>
        </w:numPr>
      </w:pPr>
      <w:r>
        <w:t xml:space="preserve">Sustainable pricing from inflationary pricing</w:t>
      </w:r>
    </w:p>
    <w:p>
      <w:pPr>
        <w:pStyle w:val="Compact"/>
        <w:numPr>
          <w:ilvl w:val="0"/>
          <w:numId w:val="1011"/>
        </w:numPr>
      </w:pPr>
      <w:r>
        <w:t xml:space="preserve">Volume trends by region</w:t>
      </w:r>
    </w:p>
    <w:p>
      <w:pPr>
        <w:pStyle w:val="Compact"/>
        <w:numPr>
          <w:ilvl w:val="0"/>
          <w:numId w:val="1011"/>
        </w:numPr>
      </w:pPr>
      <w:r>
        <w:t xml:space="preserve">Exposure to geopolitical, freight and commodity disruption</w:t>
      </w:r>
    </w:p>
    <w:p>
      <w:r>
        <w:pict>
          <v:rect style="width:0;height:1.5pt" o:hralign="center" o:hrstd="t" o:hr="t"/>
        </w:pict>
      </w:r>
    </w:p>
    <w:bookmarkEnd w:id="23"/>
    <w:bookmarkEnd w:id="24"/>
    <w:bookmarkStart w:id="27" w:name="fy2027-guidance-will-drive-the-stock"/>
    <w:p>
      <w:pPr>
        <w:pStyle w:val="Heading2"/>
      </w:pPr>
      <w:r>
        <w:t xml:space="preserve">FY2027 guidance will drive the stock</w:t>
      </w:r>
    </w:p>
    <w:p>
      <w:pPr>
        <w:pStyle w:val="FirstParagraph"/>
      </w:pPr>
      <w:r>
        <w:t xml:space="preserve">Clorox shares closed July 31 at approximately</w:t>
      </w:r>
      <w:r>
        <w:t xml:space="preserve"> </w:t>
      </w:r>
      <w:r>
        <w:rPr>
          <w:b/>
          <w:bCs/>
        </w:rPr>
        <w:t xml:space="preserve">$95.55</w:t>
      </w:r>
      <w:r>
        <w:t xml:space="preserve">, down roughly 23% from early August 2025. At that price, the stock trades around</w:t>
      </w:r>
      <w:r>
        <w:t xml:space="preserve"> </w:t>
      </w:r>
      <w:r>
        <w:rPr>
          <w:b/>
          <w:bCs/>
        </w:rPr>
        <w:t xml:space="preserve">17 times</w:t>
      </w:r>
      <w:r>
        <w:t xml:space="preserve"> </w:t>
      </w:r>
      <w:r>
        <w:t xml:space="preserve">the midpoint of FY2026 adjusted-EPS guidance. The valuation is no longer demanding by Clorox’s historical standards, but the market is discounting weak organic growth, margin uncertainty, increased debt and execution risk.</w:t>
      </w:r>
    </w:p>
    <w:p>
      <w:pPr>
        <w:pStyle w:val="BodyText"/>
      </w:pPr>
      <w:r>
        <w:t xml:space="preserve">The key FY2027 debate is whether earnings can begin normalizing as temporary items disappear.</w:t>
      </w:r>
    </w:p>
    <w:bookmarkStart w:id="25" w:name="potential-fy2027-tailwinds"/>
    <w:p>
      <w:pPr>
        <w:pStyle w:val="Heading3"/>
      </w:pPr>
      <w:r>
        <w:t xml:space="preserve">Potential FY2027 tailwinds</w:t>
      </w:r>
    </w:p>
    <w:p>
      <w:pPr>
        <w:pStyle w:val="Compact"/>
        <w:numPr>
          <w:ilvl w:val="0"/>
          <w:numId w:val="1012"/>
        </w:numPr>
      </w:pPr>
      <w:r>
        <w:t xml:space="preserve">No repeat of the $0.90 ERP shipment effect</w:t>
      </w:r>
    </w:p>
    <w:p>
      <w:pPr>
        <w:pStyle w:val="Compact"/>
        <w:numPr>
          <w:ilvl w:val="0"/>
          <w:numId w:val="1012"/>
        </w:numPr>
      </w:pPr>
      <w:r>
        <w:t xml:space="preserve">Completion of the five-year, approximately $580 million digital investment program</w:t>
      </w:r>
    </w:p>
    <w:p>
      <w:pPr>
        <w:pStyle w:val="Compact"/>
        <w:numPr>
          <w:ilvl w:val="0"/>
          <w:numId w:val="1012"/>
        </w:numPr>
      </w:pPr>
      <w:r>
        <w:t xml:space="preserve">Elimination of Q4 GOJO inventory step-up charges</w:t>
      </w:r>
    </w:p>
    <w:p>
      <w:pPr>
        <w:pStyle w:val="Compact"/>
        <w:numPr>
          <w:ilvl w:val="0"/>
          <w:numId w:val="1012"/>
        </w:numPr>
      </w:pPr>
      <w:r>
        <w:t xml:space="preserve">Deferred and accelerated supply-chain savings</w:t>
      </w:r>
    </w:p>
    <w:p>
      <w:pPr>
        <w:pStyle w:val="Compact"/>
        <w:numPr>
          <w:ilvl w:val="0"/>
          <w:numId w:val="1012"/>
        </w:numPr>
      </w:pPr>
      <w:r>
        <w:t xml:space="preserve">A full year of GOJO revenue</w:t>
      </w:r>
    </w:p>
    <w:p>
      <w:pPr>
        <w:pStyle w:val="Compact"/>
        <w:numPr>
          <w:ilvl w:val="0"/>
          <w:numId w:val="1012"/>
        </w:numPr>
      </w:pPr>
      <w:r>
        <w:t xml:space="preserve">Initial GOJO cost and revenue synergies</w:t>
      </w:r>
    </w:p>
    <w:p>
      <w:pPr>
        <w:pStyle w:val="Compact"/>
        <w:numPr>
          <w:ilvl w:val="0"/>
          <w:numId w:val="1012"/>
        </w:numPr>
      </w:pPr>
      <w:r>
        <w:t xml:space="preserve">Better availability and retailer execution after ERP stabilization</w:t>
      </w:r>
    </w:p>
    <w:p>
      <w:pPr>
        <w:pStyle w:val="Compact"/>
        <w:numPr>
          <w:ilvl w:val="0"/>
          <w:numId w:val="1012"/>
        </w:numPr>
      </w:pPr>
      <w:r>
        <w:t xml:space="preserve">Recovery in Fresh Step, Glad and Hidden Valley market share</w:t>
      </w:r>
    </w:p>
    <w:bookmarkEnd w:id="25"/>
    <w:bookmarkStart w:id="26" w:name="potential-headwinds"/>
    <w:p>
      <w:pPr>
        <w:pStyle w:val="Heading3"/>
      </w:pPr>
      <w:r>
        <w:t xml:space="preserve">Potential headwinds</w:t>
      </w:r>
    </w:p>
    <w:p>
      <w:pPr>
        <w:pStyle w:val="Compact"/>
        <w:numPr>
          <w:ilvl w:val="0"/>
          <w:numId w:val="1013"/>
        </w:numPr>
      </w:pPr>
      <w:r>
        <w:t xml:space="preserve">Persistently high energy, resin, transportation and packaging costs</w:t>
      </w:r>
    </w:p>
    <w:p>
      <w:pPr>
        <w:pStyle w:val="Compact"/>
        <w:numPr>
          <w:ilvl w:val="0"/>
          <w:numId w:val="1013"/>
        </w:numPr>
      </w:pPr>
      <w:r>
        <w:t xml:space="preserve">Roughly $110 million of incremental annual interest expense discussed in connection with GOJO financing</w:t>
      </w:r>
    </w:p>
    <w:p>
      <w:pPr>
        <w:pStyle w:val="Compact"/>
        <w:numPr>
          <w:ilvl w:val="0"/>
          <w:numId w:val="1013"/>
        </w:numPr>
      </w:pPr>
      <w:r>
        <w:t xml:space="preserve">A pressured consumer and aggressive promotions</w:t>
      </w:r>
    </w:p>
    <w:p>
      <w:pPr>
        <w:pStyle w:val="Compact"/>
        <w:numPr>
          <w:ilvl w:val="0"/>
          <w:numId w:val="1013"/>
        </w:numPr>
      </w:pPr>
      <w:r>
        <w:t xml:space="preserve">Pricing that damages volume or delays share recovery</w:t>
      </w:r>
    </w:p>
    <w:p>
      <w:pPr>
        <w:pStyle w:val="Compact"/>
        <w:numPr>
          <w:ilvl w:val="0"/>
          <w:numId w:val="1013"/>
        </w:numPr>
      </w:pPr>
      <w:r>
        <w:t xml:space="preserve">GOJO integration expenses and operational distraction</w:t>
      </w:r>
    </w:p>
    <w:p>
      <w:pPr>
        <w:pStyle w:val="Compact"/>
        <w:numPr>
          <w:ilvl w:val="0"/>
          <w:numId w:val="1013"/>
        </w:numPr>
      </w:pPr>
      <w:r>
        <w:t xml:space="preserve">Greater leverage following GOJO and the $476 million Glad joint-venture buyout</w:t>
      </w:r>
    </w:p>
    <w:p>
      <w:pPr>
        <w:pStyle w:val="Compact"/>
        <w:numPr>
          <w:ilvl w:val="0"/>
          <w:numId w:val="1013"/>
        </w:numPr>
      </w:pPr>
      <w:r>
        <w:t xml:space="preserve">Leadership uncertainty during the CEO search</w:t>
      </w:r>
    </w:p>
    <w:p>
      <w:pPr>
        <w:pStyle w:val="FirstParagraph"/>
      </w:pPr>
      <w:r>
        <w:t xml:space="preserve">The ideal outlook would pair positive organic growth with sequential gross-margin recovery and EPS growth. Guidance implying that cost inflation consumes most of the ERP and productivity benefits would likely disappoint.</w:t>
      </w:r>
    </w:p>
    <w:p>
      <w:r>
        <w:pict>
          <v:rect style="width:0;height:1.5pt" o:hralign="center" o:hrstd="t" o:hr="t"/>
        </w:pict>
      </w:r>
    </w:p>
    <w:bookmarkEnd w:id="26"/>
    <w:bookmarkEnd w:id="27"/>
    <w:bookmarkStart w:id="30" w:name="leadership-transition-raises-the-stakes"/>
    <w:p>
      <w:pPr>
        <w:pStyle w:val="Heading2"/>
      </w:pPr>
      <w:r>
        <w:t xml:space="preserve">Leadership transition raises the stakes</w:t>
      </w:r>
    </w:p>
    <w:p>
      <w:pPr>
        <w:pStyle w:val="FirstParagraph"/>
      </w:pPr>
      <w:r>
        <w:t xml:space="preserve">On May 28, Clorox announced that Linda Rendle would step down as chair and CEO after a successor is appointed, citing health reasons. She remains in the role during the search. (</w:t>
      </w:r>
      <w:hyperlink r:id="rId28">
        <w:r>
          <w:rPr>
            <w:rStyle w:val="Hyperlink"/>
          </w:rPr>
          <w:t xml:space="preserve">investors.thecloroxcompany.com</w:t>
        </w:r>
      </w:hyperlink>
      <w:r>
        <w:t xml:space="preserve">)</w:t>
      </w:r>
    </w:p>
    <w:p>
      <w:pPr>
        <w:pStyle w:val="BodyText"/>
      </w:pPr>
      <w:r>
        <w:t xml:space="preserve">The company subsequently simplified its structure:</w:t>
      </w:r>
    </w:p>
    <w:p>
      <w:pPr>
        <w:pStyle w:val="Compact"/>
        <w:numPr>
          <w:ilvl w:val="0"/>
          <w:numId w:val="1014"/>
        </w:numPr>
      </w:pPr>
      <w:r>
        <w:rPr>
          <w:b/>
          <w:bCs/>
        </w:rPr>
        <w:t xml:space="preserve">Chris Hyder</w:t>
      </w:r>
      <w:r>
        <w:t xml:space="preserve"> </w:t>
      </w:r>
      <w:r>
        <w:t xml:space="preserve">became chief operating officer, with all business units reporting to him.</w:t>
      </w:r>
    </w:p>
    <w:p>
      <w:pPr>
        <w:pStyle w:val="Compact"/>
        <w:numPr>
          <w:ilvl w:val="0"/>
          <w:numId w:val="1014"/>
        </w:numPr>
      </w:pPr>
      <w:r>
        <w:rPr>
          <w:b/>
          <w:bCs/>
        </w:rPr>
        <w:t xml:space="preserve">Nina Barton</w:t>
      </w:r>
      <w:r>
        <w:t xml:space="preserve"> </w:t>
      </w:r>
      <w:r>
        <w:t xml:space="preserve">became chief growth and strategy officer, overseeing innovation, value superiority, strategy and portfolio shaping. (</w:t>
      </w:r>
      <w:hyperlink r:id="rId29">
        <w:r>
          <w:rPr>
            <w:rStyle w:val="Hyperlink"/>
          </w:rPr>
          <w:t xml:space="preserve">investors.thecloroxcompany.com</w:t>
        </w:r>
      </w:hyperlink>
      <w:r>
        <w:t xml:space="preserve">)</w:t>
      </w:r>
    </w:p>
    <w:p>
      <w:pPr>
        <w:pStyle w:val="FirstParagraph"/>
      </w:pPr>
      <w:r>
        <w:t xml:space="preserve">Investors should expect questions about:</w:t>
      </w:r>
    </w:p>
    <w:p>
      <w:pPr>
        <w:pStyle w:val="Compact"/>
        <w:numPr>
          <w:ilvl w:val="0"/>
          <w:numId w:val="1015"/>
        </w:numPr>
      </w:pPr>
      <w:r>
        <w:t xml:space="preserve">The status and likely timing of the CEO search</w:t>
      </w:r>
    </w:p>
    <w:p>
      <w:pPr>
        <w:pStyle w:val="Compact"/>
        <w:numPr>
          <w:ilvl w:val="0"/>
          <w:numId w:val="1015"/>
        </w:numPr>
      </w:pPr>
      <w:r>
        <w:t xml:space="preserve">Whether internal candidates are being considered</w:t>
      </w:r>
    </w:p>
    <w:p>
      <w:pPr>
        <w:pStyle w:val="Compact"/>
        <w:numPr>
          <w:ilvl w:val="0"/>
          <w:numId w:val="1015"/>
        </w:numPr>
      </w:pPr>
      <w:r>
        <w:t xml:space="preserve">Management retention during the transition</w:t>
      </w:r>
    </w:p>
    <w:p>
      <w:pPr>
        <w:pStyle w:val="Compact"/>
        <w:numPr>
          <w:ilvl w:val="0"/>
          <w:numId w:val="1015"/>
        </w:numPr>
      </w:pPr>
      <w:r>
        <w:t xml:space="preserve">Whether the new structure is producing faster decisions</w:t>
      </w:r>
    </w:p>
    <w:p>
      <w:pPr>
        <w:pStyle w:val="Compact"/>
        <w:numPr>
          <w:ilvl w:val="0"/>
          <w:numId w:val="1015"/>
        </w:numPr>
      </w:pPr>
      <w:r>
        <w:t xml:space="preserve">Potential portfolio changes under a future CEO</w:t>
      </w:r>
    </w:p>
    <w:p>
      <w:pPr>
        <w:pStyle w:val="FirstParagraph"/>
      </w:pPr>
      <w:r>
        <w:t xml:space="preserve">The reorganization may improve accountability, but it also signals that execution has not been strong enough. Clear evidence of faster market-share recovery would validate the change.</w:t>
      </w:r>
    </w:p>
    <w:p>
      <w:r>
        <w:pict>
          <v:rect style="width:0;height:1.5pt" o:hralign="center" o:hrstd="t" o:hr="t"/>
        </w:pict>
      </w:r>
    </w:p>
    <w:bookmarkEnd w:id="30"/>
    <w:bookmarkStart w:id="33" w:name="what-would-be-bullish-or-bearish"/>
    <w:p>
      <w:pPr>
        <w:pStyle w:val="Heading2"/>
      </w:pPr>
      <w:r>
        <w:t xml:space="preserve">What would be bullish or bearish?</w:t>
      </w:r>
    </w:p>
    <w:bookmarkStart w:id="31" w:name="bullish-outcome"/>
    <w:p>
      <w:pPr>
        <w:pStyle w:val="Heading3"/>
      </w:pPr>
      <w:r>
        <w:t xml:space="preserve">Bullish outcome</w:t>
      </w:r>
    </w:p>
    <w:p>
      <w:pPr>
        <w:pStyle w:val="Compact"/>
        <w:numPr>
          <w:ilvl w:val="0"/>
          <w:numId w:val="1016"/>
        </w:numPr>
      </w:pPr>
      <w:r>
        <w:t xml:space="preserve">Revenue and adjusted EPS at or above consensus</w:t>
      </w:r>
    </w:p>
    <w:p>
      <w:pPr>
        <w:pStyle w:val="Compact"/>
        <w:numPr>
          <w:ilvl w:val="0"/>
          <w:numId w:val="1016"/>
        </w:numPr>
      </w:pPr>
      <w:r>
        <w:t xml:space="preserve">Gross margin within or better than the expected decline</w:t>
      </w:r>
    </w:p>
    <w:p>
      <w:pPr>
        <w:pStyle w:val="Compact"/>
        <w:numPr>
          <w:ilvl w:val="0"/>
          <w:numId w:val="1016"/>
        </w:numPr>
      </w:pPr>
      <w:r>
        <w:t xml:space="preserve">Cleaning, Glad and Hidden Valley gaining share</w:t>
      </w:r>
    </w:p>
    <w:p>
      <w:pPr>
        <w:pStyle w:val="Compact"/>
        <w:numPr>
          <w:ilvl w:val="0"/>
          <w:numId w:val="1016"/>
        </w:numPr>
      </w:pPr>
      <w:r>
        <w:t xml:space="preserve">Clear sequential improvement in Fresh Step velocities</w:t>
      </w:r>
    </w:p>
    <w:p>
      <w:pPr>
        <w:pStyle w:val="Compact"/>
        <w:numPr>
          <w:ilvl w:val="0"/>
          <w:numId w:val="1016"/>
        </w:numPr>
      </w:pPr>
      <w:r>
        <w:t xml:space="preserve">GOJO tracking to its growth and synergy assumptions</w:t>
      </w:r>
    </w:p>
    <w:p>
      <w:pPr>
        <w:pStyle w:val="Compact"/>
        <w:numPr>
          <w:ilvl w:val="0"/>
          <w:numId w:val="1016"/>
        </w:numPr>
      </w:pPr>
      <w:r>
        <w:t xml:space="preserve">FY2027 organic growth turns positive</w:t>
      </w:r>
    </w:p>
    <w:p>
      <w:pPr>
        <w:pStyle w:val="Compact"/>
        <w:numPr>
          <w:ilvl w:val="0"/>
          <w:numId w:val="1016"/>
        </w:numPr>
      </w:pPr>
      <w:r>
        <w:t xml:space="preserve">FY2027 gross margin begins recovering meaningfully</w:t>
      </w:r>
    </w:p>
    <w:p>
      <w:pPr>
        <w:pStyle w:val="Compact"/>
        <w:numPr>
          <w:ilvl w:val="0"/>
          <w:numId w:val="1016"/>
        </w:numPr>
      </w:pPr>
      <w:r>
        <w:t xml:space="preserve">EPS guidance indicates that temporary costs are rolling off faster than inflation builds</w:t>
      </w:r>
    </w:p>
    <w:p>
      <w:pPr>
        <w:pStyle w:val="Compact"/>
        <w:numPr>
          <w:ilvl w:val="0"/>
          <w:numId w:val="1016"/>
        </w:numPr>
      </w:pPr>
      <w:r>
        <w:t xml:space="preserve">Strong cash conversion and a credible deleveraging plan</w:t>
      </w:r>
    </w:p>
    <w:bookmarkEnd w:id="31"/>
    <w:bookmarkStart w:id="32" w:name="bearish-outcome"/>
    <w:p>
      <w:pPr>
        <w:pStyle w:val="Heading3"/>
      </w:pPr>
      <w:r>
        <w:t xml:space="preserve">Bearish outcome</w:t>
      </w:r>
    </w:p>
    <w:p>
      <w:pPr>
        <w:pStyle w:val="Compact"/>
        <w:numPr>
          <w:ilvl w:val="0"/>
          <w:numId w:val="1017"/>
        </w:numPr>
      </w:pPr>
      <w:r>
        <w:t xml:space="preserve">Legacy sales remain weak after adjusting for ERP and GOJO</w:t>
      </w:r>
    </w:p>
    <w:p>
      <w:pPr>
        <w:pStyle w:val="Compact"/>
        <w:numPr>
          <w:ilvl w:val="0"/>
          <w:numId w:val="1017"/>
        </w:numPr>
      </w:pPr>
      <w:r>
        <w:t xml:space="preserve">Fresh Step distribution gains fail to translate into consumption</w:t>
      </w:r>
    </w:p>
    <w:p>
      <w:pPr>
        <w:pStyle w:val="Compact"/>
        <w:numPr>
          <w:ilvl w:val="0"/>
          <w:numId w:val="1017"/>
        </w:numPr>
      </w:pPr>
      <w:r>
        <w:t xml:space="preserve">Hidden Valley remains under heavy promotional pressure</w:t>
      </w:r>
    </w:p>
    <w:p>
      <w:pPr>
        <w:pStyle w:val="Compact"/>
        <w:numPr>
          <w:ilvl w:val="0"/>
          <w:numId w:val="1017"/>
        </w:numPr>
      </w:pPr>
      <w:r>
        <w:t xml:space="preserve">Margin comes in below the already-low framework</w:t>
      </w:r>
    </w:p>
    <w:p>
      <w:pPr>
        <w:pStyle w:val="Compact"/>
        <w:numPr>
          <w:ilvl w:val="0"/>
          <w:numId w:val="1017"/>
        </w:numPr>
      </w:pPr>
      <w:r>
        <w:t xml:space="preserve">Management relies on pricing while acknowledging a fragile consumer</w:t>
      </w:r>
    </w:p>
    <w:p>
      <w:pPr>
        <w:pStyle w:val="Compact"/>
        <w:numPr>
          <w:ilvl w:val="0"/>
          <w:numId w:val="1017"/>
        </w:numPr>
      </w:pPr>
      <w:r>
        <w:t xml:space="preserve">GOJO integration or customer-retention issues emerge</w:t>
      </w:r>
    </w:p>
    <w:p>
      <w:pPr>
        <w:pStyle w:val="Compact"/>
        <w:numPr>
          <w:ilvl w:val="0"/>
          <w:numId w:val="1017"/>
        </w:numPr>
      </w:pPr>
      <w:r>
        <w:t xml:space="preserve">FY2027 EPS is held back by interest, inflation and restructuring costs</w:t>
      </w:r>
    </w:p>
    <w:p>
      <w:pPr>
        <w:pStyle w:val="Compact"/>
        <w:numPr>
          <w:ilvl w:val="0"/>
          <w:numId w:val="1017"/>
        </w:numPr>
      </w:pPr>
      <w:r>
        <w:t xml:space="preserve">Guidance remains unusually wide or management cannot quantify cost mitigation</w:t>
      </w:r>
    </w:p>
    <w:p>
      <w:pPr>
        <w:pStyle w:val="Compact"/>
        <w:numPr>
          <w:ilvl w:val="0"/>
          <w:numId w:val="1017"/>
        </w:numPr>
      </w:pPr>
      <w:r>
        <w:t xml:space="preserve">CEO-search uncertainty begins affecting strategy or senior-management retention</w:t>
      </w:r>
    </w:p>
    <w:p>
      <w:r>
        <w:pict>
          <v:rect style="width:0;height:1.5pt" o:hralign="center" o:hrstd="t" o:hr="t"/>
        </w:pict>
      </w:r>
    </w:p>
    <w:bookmarkEnd w:id="32"/>
    <w:bookmarkEnd w:id="33"/>
    <w:bookmarkStart w:id="34" w:name="questions-management-should-answer"/>
    <w:p>
      <w:pPr>
        <w:pStyle w:val="Heading2"/>
      </w:pPr>
      <w:r>
        <w:t xml:space="preserve">Questions management should answer</w:t>
      </w:r>
    </w:p>
    <w:p>
      <w:pPr>
        <w:pStyle w:val="Compact"/>
        <w:numPr>
          <w:ilvl w:val="0"/>
          <w:numId w:val="1018"/>
        </w:numPr>
      </w:pPr>
      <w:r>
        <w:t xml:space="preserve">What was Q4 organic consumption excluding ERP shipment timing?</w:t>
      </w:r>
    </w:p>
    <w:p>
      <w:pPr>
        <w:pStyle w:val="Compact"/>
        <w:numPr>
          <w:ilvl w:val="0"/>
          <w:numId w:val="1018"/>
        </w:numPr>
      </w:pPr>
      <w:r>
        <w:t xml:space="preserve">How much market share has been recovered versus pre-ERP levels?</w:t>
      </w:r>
    </w:p>
    <w:p>
      <w:pPr>
        <w:pStyle w:val="Compact"/>
        <w:numPr>
          <w:ilvl w:val="0"/>
          <w:numId w:val="1018"/>
        </w:numPr>
      </w:pPr>
      <w:r>
        <w:t xml:space="preserve">Are Fresh Step velocities now improving, and have shelf-placement issues been resolved?</w:t>
      </w:r>
    </w:p>
    <w:p>
      <w:pPr>
        <w:pStyle w:val="Compact"/>
        <w:numPr>
          <w:ilvl w:val="0"/>
          <w:numId w:val="1018"/>
        </w:numPr>
      </w:pPr>
      <w:r>
        <w:t xml:space="preserve">What percentage of Q4 gross-margin pressure disappears automatically in FY2027?</w:t>
      </w:r>
    </w:p>
    <w:p>
      <w:pPr>
        <w:pStyle w:val="Compact"/>
        <w:numPr>
          <w:ilvl w:val="0"/>
          <w:numId w:val="1018"/>
        </w:numPr>
      </w:pPr>
      <w:r>
        <w:t xml:space="preserve">What commodity and oil assumptions underpin FY2027 guidance?</w:t>
      </w:r>
    </w:p>
    <w:p>
      <w:pPr>
        <w:pStyle w:val="Compact"/>
        <w:numPr>
          <w:ilvl w:val="0"/>
          <w:numId w:val="1018"/>
        </w:numPr>
      </w:pPr>
      <w:r>
        <w:t xml:space="preserve">How much pricing is contemplated, and where can it be taken without sacrificing share?</w:t>
      </w:r>
    </w:p>
    <w:p>
      <w:pPr>
        <w:pStyle w:val="Compact"/>
        <w:numPr>
          <w:ilvl w:val="0"/>
          <w:numId w:val="1018"/>
        </w:numPr>
      </w:pPr>
      <w:r>
        <w:t xml:space="preserve">How large is the FY2027 cost-savings pipeline?</w:t>
      </w:r>
    </w:p>
    <w:p>
      <w:pPr>
        <w:pStyle w:val="Compact"/>
        <w:numPr>
          <w:ilvl w:val="0"/>
          <w:numId w:val="1018"/>
        </w:numPr>
      </w:pPr>
      <w:r>
        <w:t xml:space="preserve">What are GOJO’s current growth, EBITDA margin and integration costs?</w:t>
      </w:r>
    </w:p>
    <w:p>
      <w:pPr>
        <w:pStyle w:val="Compact"/>
        <w:numPr>
          <w:ilvl w:val="0"/>
          <w:numId w:val="1018"/>
        </w:numPr>
      </w:pPr>
      <w:r>
        <w:t xml:space="preserve">When should the first portion of the expected $50 million of GOJO synergies appear?</w:t>
      </w:r>
    </w:p>
    <w:p>
      <w:pPr>
        <w:pStyle w:val="Compact"/>
        <w:numPr>
          <w:ilvl w:val="0"/>
          <w:numId w:val="1018"/>
        </w:numPr>
      </w:pPr>
      <w:r>
        <w:t xml:space="preserve">What are the leverage and debt-reduction targets following the acquisition?</w:t>
      </w:r>
    </w:p>
    <w:p>
      <w:pPr>
        <w:pStyle w:val="Compact"/>
        <w:numPr>
          <w:ilvl w:val="0"/>
          <w:numId w:val="1018"/>
        </w:numPr>
      </w:pPr>
      <w:r>
        <w:t xml:space="preserve">Will advertising rise, remain stable or decline as a percentage of legacy sales?</w:t>
      </w:r>
    </w:p>
    <w:p>
      <w:pPr>
        <w:pStyle w:val="Compact"/>
        <w:numPr>
          <w:ilvl w:val="0"/>
          <w:numId w:val="1018"/>
        </w:numPr>
      </w:pPr>
      <w:r>
        <w:t xml:space="preserve">Is the board considering external and internal CEO candidates, and is there a target timeline?</w:t>
      </w:r>
    </w:p>
    <w:p>
      <w:r>
        <w:pict>
          <v:rect style="width:0;height:1.5pt" o:hralign="center" o:hrstd="t" o:hr="t"/>
        </w:pict>
      </w:r>
    </w:p>
    <w:bookmarkEnd w:id="34"/>
    <w:bookmarkStart w:id="35" w:name="bottom-line"/>
    <w:p>
      <w:pPr>
        <w:pStyle w:val="Heading2"/>
      </w:pPr>
      <w:r>
        <w:t xml:space="preserve">Bottom line</w:t>
      </w:r>
    </w:p>
    <w:p>
      <w:pPr>
        <w:pStyle w:val="FirstParagraph"/>
      </w:pPr>
      <w:r>
        <w:rPr>
          <w:b/>
          <w:bCs/>
        </w:rPr>
        <w:t xml:space="preserve">The Q4 numbers have a low signal-to-noise ratio.</w:t>
      </w:r>
      <w:r>
        <w:t xml:space="preserve"> </w:t>
      </w:r>
      <w:r>
        <w:t xml:space="preserve">ERP comparisons, GOJO acquisition accounting and energy inflation make the reported year-over-year declines look severe even if the underlying business is stabilizing.</w:t>
      </w:r>
    </w:p>
    <w:p>
      <w:pPr>
        <w:pStyle w:val="BodyText"/>
      </w:pPr>
      <w:r>
        <w:t xml:space="preserve">The decisive issue is whether Clorox can demonstrate that FY2026 represents a trough. Investors should prioritize:</w:t>
      </w:r>
    </w:p>
    <w:p>
      <w:pPr>
        <w:pStyle w:val="Compact"/>
        <w:numPr>
          <w:ilvl w:val="0"/>
          <w:numId w:val="1019"/>
        </w:numPr>
      </w:pPr>
      <w:r>
        <w:rPr>
          <w:b/>
          <w:bCs/>
        </w:rPr>
        <w:t xml:space="preserve">Legacy consumption and market share</w:t>
      </w:r>
    </w:p>
    <w:p>
      <w:pPr>
        <w:pStyle w:val="Compact"/>
        <w:numPr>
          <w:ilvl w:val="0"/>
          <w:numId w:val="1019"/>
        </w:numPr>
      </w:pPr>
      <w:r>
        <w:rPr>
          <w:b/>
          <w:bCs/>
        </w:rPr>
        <w:t xml:space="preserve">Underlying gross-margin progression</w:t>
      </w:r>
    </w:p>
    <w:p>
      <w:pPr>
        <w:pStyle w:val="Compact"/>
        <w:numPr>
          <w:ilvl w:val="0"/>
          <w:numId w:val="1019"/>
        </w:numPr>
      </w:pPr>
      <w:r>
        <w:rPr>
          <w:b/>
          <w:bCs/>
        </w:rPr>
        <w:t xml:space="preserve">Fresh Step and Hidden Valley execution</w:t>
      </w:r>
    </w:p>
    <w:p>
      <w:pPr>
        <w:pStyle w:val="Compact"/>
        <w:numPr>
          <w:ilvl w:val="0"/>
          <w:numId w:val="1019"/>
        </w:numPr>
      </w:pPr>
      <w:r>
        <w:rPr>
          <w:b/>
          <w:bCs/>
        </w:rPr>
        <w:t xml:space="preserve">GOJO integration and leverage</w:t>
      </w:r>
    </w:p>
    <w:p>
      <w:pPr>
        <w:pStyle w:val="Compact"/>
        <w:numPr>
          <w:ilvl w:val="0"/>
          <w:numId w:val="1019"/>
        </w:numPr>
      </w:pPr>
      <w:r>
        <w:rPr>
          <w:b/>
          <w:bCs/>
        </w:rPr>
        <w:t xml:space="preserve">FY2027 guidance</w:t>
      </w:r>
    </w:p>
    <w:p>
      <w:pPr>
        <w:pStyle w:val="FirstParagraph"/>
      </w:pPr>
      <w:r>
        <w:t xml:space="preserve">A clean quarter with positive share commentary and a credible FY2027 margin recovery could support a meaningful rebound from the stock’s depressed level. Another reset to expectations—particularly one caused by weak execution rather than external costs—would reinforce concerns that the recovery is being pushed further out.</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thecloroxcompany.com/news/news-details/2026/Clorox-Announces-August-3-Webcast-of-Fourth-Quarter-and-Fiscal-Year-2026-Results/default.aspx?utm_source=openai" TargetMode="External" /><Relationship Type="http://schemas.openxmlformats.org/officeDocument/2006/relationships/hyperlink" Id="rId29" Target="https://investors.thecloroxcompany.com/news/news-details/2026/Clorox-Announces-Simplified-Operating-Structure-to-Improve-Execution-and-Accelerate-Growth/default.aspx?utm_source=openai" TargetMode="External" /><Relationship Type="http://schemas.openxmlformats.org/officeDocument/2006/relationships/hyperlink" Id="rId28" Target="https://investors.thecloroxcompany.com/news/news-details/2026/Clorox-Board-of-Directors-to-Initiate-Comprehensive-CEO-Search-Process/default.aspx?utm_source=openai" TargetMode="External" /><Relationship Type="http://schemas.openxmlformats.org/officeDocument/2006/relationships/hyperlink" Id="rId15" Target="https://investors.thecloroxcompany.com/news/news-details/2026/Clorox-Completes-Acquisition-of-GOJO-Industries-Makers-of-Purell/default.aspx?utm_source=openai" TargetMode="External" /><Relationship Type="http://schemas.openxmlformats.org/officeDocument/2006/relationships/hyperlink" Id="rId13" Target="https://investors.thecloroxcompany.com/news/news-details/2026/Clorox-Reports-Q3-Fiscal-Year-2026-Results-Updates-Outlook/default.aspx?utm_source=openai" TargetMode="External" /><Relationship Type="http://schemas.openxmlformats.org/officeDocument/2006/relationships/hyperlink" Id="rId11" Target="https://www.tipranks.com/stocks/clx/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thecloroxcompany.com/news/news-details/2026/Clorox-Announces-August-3-Webcast-of-Fourth-Quarter-and-Fiscal-Year-2026-Results/default.aspx?utm_source=openai" TargetMode="External" /><Relationship Type="http://schemas.openxmlformats.org/officeDocument/2006/relationships/hyperlink" Id="rId29" Target="https://investors.thecloroxcompany.com/news/news-details/2026/Clorox-Announces-Simplified-Operating-Structure-to-Improve-Execution-and-Accelerate-Growth/default.aspx?utm_source=openai" TargetMode="External" /><Relationship Type="http://schemas.openxmlformats.org/officeDocument/2006/relationships/hyperlink" Id="rId28" Target="https://investors.thecloroxcompany.com/news/news-details/2026/Clorox-Board-of-Directors-to-Initiate-Comprehensive-CEO-Search-Process/default.aspx?utm_source=openai" TargetMode="External" /><Relationship Type="http://schemas.openxmlformats.org/officeDocument/2006/relationships/hyperlink" Id="rId15" Target="https://investors.thecloroxcompany.com/news/news-details/2026/Clorox-Completes-Acquisition-of-GOJO-Industries-Makers-of-Purell/default.aspx?utm_source=openai" TargetMode="External" /><Relationship Type="http://schemas.openxmlformats.org/officeDocument/2006/relationships/hyperlink" Id="rId13" Target="https://investors.thecloroxcompany.com/news/news-details/2026/Clorox-Reports-Q3-Fiscal-Year-2026-Results-Updates-Outlook/default.aspx?utm_source=openai" TargetMode="External" /><Relationship Type="http://schemas.openxmlformats.org/officeDocument/2006/relationships/hyperlink" Id="rId11" Target="https://www.tipranks.com/stocks/clx/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2026-08-03T00:18:26Z</dcterms:created>
  <dcterms:modified xsi:type="dcterms:W3CDTF">2026-08-03T00:18:26Z</dcterms:modified>
</cp:coreProperties>
</file>

<file path=docProps/custom.xml><?xml version="1.0" encoding="utf-8"?>
<Properties xmlns="http://schemas.openxmlformats.org/officeDocument/2006/custom-properties" xmlns:vt="http://schemas.openxmlformats.org/officeDocument/2006/docPropsVTypes"/>
</file>