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723c2600e22a9f89c03fb7cdd8aff393a0307a9"/>
    <w:p>
      <w:pPr>
        <w:pStyle w:val="Heading1"/>
      </w:pPr>
      <w:r>
        <w:t xml:space="preserve">Clorox (NYSE: CLX) — FY2026 Q4 Earnings Preview</w:t>
      </w:r>
    </w:p>
    <w:p>
      <w:pPr>
        <w:pStyle w:val="BlockText"/>
      </w:pPr>
      <w:r>
        <w:rPr>
          <w:b/>
          <w:bCs/>
        </w:rPr>
        <w:t xml:space="preserve">Timing note:</w:t>
      </w:r>
      <w:r>
        <w:t xml:space="preserve"> </w:t>
      </w:r>
      <w:r>
        <w:t xml:space="preserve">Clorox is scheduled to report</w:t>
      </w:r>
      <w:r>
        <w:t xml:space="preserve"> </w:t>
      </w:r>
      <w:r>
        <w:rPr>
          <w:b/>
          <w:bCs/>
        </w:rPr>
        <w:t xml:space="preserve">today, Monday, August 3, 2026</w:t>
      </w:r>
      <w:r>
        <w:t xml:space="preserve">, not tomorrow: results and prepared remarks are due at</w:t>
      </w:r>
      <w:r>
        <w:t xml:space="preserve"> </w:t>
      </w:r>
      <w:r>
        <w:rPr>
          <w:b/>
          <w:bCs/>
        </w:rPr>
        <w:t xml:space="preserve">4:15 p.m. ET</w:t>
      </w:r>
      <w:r>
        <w:t xml:space="preserve">, followed by a</w:t>
      </w:r>
      <w:r>
        <w:t xml:space="preserve"> </w:t>
      </w:r>
      <w:r>
        <w:rPr>
          <w:b/>
          <w:bCs/>
        </w:rPr>
        <w:t xml:space="preserve">5:00 p.m. ET</w:t>
      </w:r>
      <w:r>
        <w:t xml:space="preserve"> </w:t>
      </w:r>
      <w:r>
        <w:t xml:space="preserve">analyst Q&amp;A webcast.</w:t>
      </w:r>
    </w:p>
    <w:bookmarkStart w:id="9" w:name="X0d2809ef7d962fbd3bf956c71413a18d348fcf6"/>
    <w:p>
      <w:pPr>
        <w:pStyle w:val="Heading2"/>
      </w:pPr>
      <w:r>
        <w:t xml:space="preserve">Investment view: this is a “proof of exit rate” quarter</w:t>
      </w:r>
    </w:p>
    <w:p>
      <w:pPr>
        <w:pStyle w:val="FirstParagraph"/>
      </w:pPr>
      <w:r>
        <w:t xml:space="preserve">Clorox’s fiscal Q4 report is less about a clean year-over-year earnings comparison and more about whether the company has exited FY2026 with:</w:t>
      </w:r>
    </w:p>
    <w:p>
      <w:pPr>
        <w:pStyle w:val="Compact"/>
        <w:numPr>
          <w:ilvl w:val="0"/>
          <w:numId w:val="1001"/>
        </w:numPr>
      </w:pPr>
      <w:r>
        <w:rPr>
          <w:b/>
          <w:bCs/>
        </w:rPr>
        <w:t xml:space="preserve">Organic sales back to flat growth</w:t>
      </w:r>
      <w:r>
        <w:t xml:space="preserve"> </w:t>
      </w:r>
      <w:r>
        <w:t xml:space="preserve">after the ERP-related shipment reversal;</w:t>
      </w:r>
    </w:p>
    <w:p>
      <w:pPr>
        <w:pStyle w:val="Compact"/>
        <w:numPr>
          <w:ilvl w:val="0"/>
          <w:numId w:val="1001"/>
        </w:numPr>
      </w:pPr>
      <w:r>
        <w:rPr>
          <w:b/>
          <w:bCs/>
        </w:rPr>
        <w:t xml:space="preserve">Improving market-share momentum</w:t>
      </w:r>
      <w:r>
        <w:t xml:space="preserve">, especially in Fresh Step litter and Glad;</w:t>
      </w:r>
    </w:p>
    <w:p>
      <w:pPr>
        <w:pStyle w:val="Compact"/>
        <w:numPr>
          <w:ilvl w:val="0"/>
          <w:numId w:val="1001"/>
        </w:numPr>
      </w:pPr>
      <w:r>
        <w:rPr>
          <w:b/>
          <w:bCs/>
        </w:rPr>
        <w:t xml:space="preserve">Contained cost inflation</w:t>
      </w:r>
      <w:r>
        <w:t xml:space="preserve"> </w:t>
      </w:r>
      <w:r>
        <w:t xml:space="preserve">and a credible gross-margin recovery path;</w:t>
      </w:r>
    </w:p>
    <w:p>
      <w:pPr>
        <w:pStyle w:val="Compact"/>
        <w:numPr>
          <w:ilvl w:val="0"/>
          <w:numId w:val="1001"/>
        </w:numPr>
      </w:pPr>
      <w:r>
        <w:t xml:space="preserve">A clean first look at</w:t>
      </w:r>
      <w:r>
        <w:t xml:space="preserve"> </w:t>
      </w:r>
      <w:r>
        <w:rPr>
          <w:b/>
          <w:bCs/>
        </w:rPr>
        <w:t xml:space="preserve">GOJO/Purell integration</w:t>
      </w:r>
      <w:r>
        <w:t xml:space="preserve"> </w:t>
      </w:r>
      <w:r>
        <w:t xml:space="preserve">and the FY2027 earnings algorithm; and</w:t>
      </w:r>
    </w:p>
    <w:p>
      <w:pPr>
        <w:pStyle w:val="Compact"/>
        <w:numPr>
          <w:ilvl w:val="0"/>
          <w:numId w:val="1001"/>
        </w:numPr>
      </w:pPr>
      <w:r>
        <w:t xml:space="preserve">Confidence that the company can execute through both a</w:t>
      </w:r>
      <w:r>
        <w:t xml:space="preserve"> </w:t>
      </w:r>
      <w:r>
        <w:rPr>
          <w:b/>
          <w:bCs/>
        </w:rPr>
        <w:t xml:space="preserve">CEO transition</w:t>
      </w:r>
      <w:r>
        <w:t xml:space="preserve"> </w:t>
      </w:r>
      <w:r>
        <w:t xml:space="preserve">and a materially higher leverage profile.</w:t>
      </w:r>
    </w:p>
    <w:p>
      <w:pPr>
        <w:pStyle w:val="FirstParagraph"/>
      </w:pPr>
      <w:r>
        <w:t xml:space="preserve">The headline year-over-year Q4 comparison will be unusually distorted. FY2025 Q4 benefited from retailer inventory built ahead of Clorox’s ERP implementation—adding roughly</w:t>
      </w:r>
      <w:r>
        <w:t xml:space="preserve"> </w:t>
      </w:r>
      <w:r>
        <w:rPr>
          <w:b/>
          <w:bCs/>
        </w:rPr>
        <w:t xml:space="preserve">13–14 points of sales growth</w:t>
      </w:r>
      <w:r>
        <w:t xml:space="preserve"> </w:t>
      </w:r>
      <w:r>
        <w:t xml:space="preserve">and</w:t>
      </w:r>
      <w:r>
        <w:t xml:space="preserve"> </w:t>
      </w:r>
      <m:oMath>
        <m:r>
          <m:t>0.85</m:t>
        </m:r>
        <m:r>
          <m:rPr>
            <m:sty m:val="p"/>
          </m:rPr>
          <m:t>–</m:t>
        </m:r>
      </m:oMath>
      <w:r>
        <w:rPr>
          <w:b/>
          <w:bCs/>
        </w:rPr>
        <w:t xml:space="preserve">0.95 of EPS</w:t>
      </w:r>
      <w:r>
        <w:t xml:space="preserve">. That creates a demanding reported comparison but a relatively favorable underlying setup as that distortion laps.</w:t>
      </w:r>
    </w:p>
    <w:bookmarkEnd w:id="9"/>
    <w:bookmarkStart w:id="11" w:name="what-management-has-guided-to"/>
    <w:p>
      <w:pPr>
        <w:pStyle w:val="Heading2"/>
      </w:pPr>
      <w:r>
        <w:t xml:space="preserve">What management has guided to</w:t>
      </w:r>
    </w:p>
    <w:p>
      <w:pPr>
        <w:pStyle w:val="FirstParagraph"/>
      </w:pPr>
      <w:r>
        <w:t xml:space="preserve">After fiscal Q3, Clorox cut its FY2026 outlook, largely because of GOJO transaction costs, delayed cost savings, ERP-related operating costs earlier in the year, and incremental energy/supply-chain inflation.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outlook as of Q3</w:t>
            </w:r>
          </w:p>
        </w:tc>
      </w:tr>
      <w:tr>
        <w:tc>
          <w:tcPr/>
          <w:p>
            <w:pPr>
              <w:pStyle w:val="Compact"/>
            </w:pPr>
            <w:r>
              <w:t xml:space="preserve">Net sales</w:t>
            </w:r>
          </w:p>
        </w:tc>
        <w:tc>
          <w:tcPr/>
          <w:p>
            <w:pPr>
              <w:pStyle w:val="Compact"/>
              <w:jc w:val="right"/>
            </w:pPr>
            <w:r>
              <w:rPr>
                <w:b/>
                <w:bCs/>
              </w:rPr>
              <w:t xml:space="preserve">Down ~6%</w:t>
            </w:r>
          </w:p>
        </w:tc>
      </w:tr>
      <w:tr>
        <w:tc>
          <w:tcPr/>
          <w:p>
            <w:pPr>
              <w:pStyle w:val="Compact"/>
            </w:pPr>
            <w:r>
              <w:t xml:space="preserve">Organic sales</w:t>
            </w:r>
          </w:p>
        </w:tc>
        <w:tc>
          <w:tcPr/>
          <w:p>
            <w:pPr>
              <w:pStyle w:val="Compact"/>
              <w:jc w:val="right"/>
            </w:pPr>
            <w:r>
              <w:rPr>
                <w:b/>
                <w:bCs/>
              </w:rPr>
              <w:t xml:space="preserve">Down ~9%</w:t>
            </w:r>
          </w:p>
        </w:tc>
      </w:tr>
      <w:tr>
        <w:tc>
          <w:tcPr/>
          <w:p>
            <w:pPr>
              <w:pStyle w:val="Compact"/>
            </w:pPr>
            <w:r>
              <w:t xml:space="preserve">Gross margin</w:t>
            </w:r>
          </w:p>
        </w:tc>
        <w:tc>
          <w:tcPr/>
          <w:p>
            <w:pPr>
              <w:pStyle w:val="Compact"/>
              <w:jc w:val="right"/>
            </w:pPr>
            <w:r>
              <w:rPr>
                <w:b/>
                <w:bCs/>
              </w:rPr>
              <w:t xml:space="preserve">Down 250–300 bps</w:t>
            </w:r>
          </w:p>
        </w:tc>
      </w:tr>
      <w:tr>
        <w:tc>
          <w:tcPr/>
          <w:p>
            <w:pPr>
              <w:pStyle w:val="Compact"/>
            </w:pPr>
            <w:r>
              <w:t xml:space="preserve">Adjusted EPS</w:t>
            </w:r>
          </w:p>
        </w:tc>
        <w:tc>
          <w:tcPr/>
          <w:p>
            <w:pPr>
              <w:pStyle w:val="Compact"/>
              <w:jc w:val="right"/>
            </w:pPr>
            <m:oMath>
              <m:r>
                <m:t>5.45</m:t>
              </m:r>
              <m:r>
                <m:rPr>
                  <m:sty m:val="p"/>
                </m:rPr>
                <m:t>–</m:t>
              </m:r>
            </m:oMath>
            <w:r>
              <w:rPr>
                <w:b/>
                <w:bCs/>
              </w:rPr>
              <w:t xml:space="preserve">5.65</w:t>
            </w:r>
          </w:p>
        </w:tc>
      </w:tr>
      <w:tr>
        <w:tc>
          <w:tcPr/>
          <w:p>
            <w:pPr>
              <w:pStyle w:val="Compact"/>
            </w:pPr>
            <w:r>
              <w:t xml:space="preserve">GAAP diluted EPS</w:t>
            </w:r>
          </w:p>
        </w:tc>
        <w:tc>
          <w:tcPr/>
          <w:p>
            <w:pPr>
              <w:pStyle w:val="Compact"/>
              <w:jc w:val="right"/>
            </w:pPr>
            <m:oMath>
              <m:r>
                <m:t>4.78</m:t>
              </m:r>
              <m:r>
                <m:rPr>
                  <m:sty m:val="p"/>
                </m:rPr>
                <m:t>–</m:t>
              </m:r>
            </m:oMath>
            <w:r>
              <w:rPr>
                <w:b/>
                <w:bCs/>
              </w:rPr>
              <w:t xml:space="preserve">4.98</w:t>
            </w:r>
          </w:p>
        </w:tc>
      </w:tr>
      <w:tr>
        <w:tc>
          <w:tcPr/>
          <w:p>
            <w:pPr>
              <w:pStyle w:val="Compact"/>
            </w:pPr>
            <w:r>
              <w:t xml:space="preserve">GOJO impact on sales</w:t>
            </w:r>
          </w:p>
        </w:tc>
        <w:tc>
          <w:tcPr/>
          <w:p>
            <w:pPr>
              <w:pStyle w:val="Compact"/>
              <w:jc w:val="right"/>
            </w:pPr>
            <w:r>
              <w:t xml:space="preserve">Just under</w:t>
            </w:r>
            <w:r>
              <w:t xml:space="preserve"> </w:t>
            </w:r>
            <w:r>
              <w:rPr>
                <w:b/>
                <w:bCs/>
              </w:rPr>
              <w:t xml:space="preserve">+3 points</w:t>
            </w:r>
          </w:p>
        </w:tc>
      </w:tr>
      <w:tr>
        <w:tc>
          <w:tcPr/>
          <w:p>
            <w:pPr>
              <w:pStyle w:val="Compact"/>
            </w:pPr>
            <w:r>
              <w:t xml:space="preserve">GOJO impact on adjusted EPS</w:t>
            </w:r>
          </w:p>
        </w:tc>
        <w:tc>
          <w:tcPr/>
          <w:p>
            <w:pPr>
              <w:pStyle w:val="Compact"/>
              <w:jc w:val="right"/>
            </w:pPr>
            <m:oMath>
              <m:r>
                <m:rPr>
                  <m:sty m:val="p"/>
                </m:rPr>
                <m:t>(</m:t>
              </m:r>
              <m:r>
                <m:t>0.02</m:t>
              </m:r>
              <m:r>
                <m:rPr>
                  <m:sty m:val="p"/>
                </m:rPr>
                <m:t>)</m:t>
              </m:r>
              <m:r>
                <m:rPr>
                  <m:sty m:val="p"/>
                </m:rPr>
                <m:t>–</m:t>
              </m:r>
            </m:oMath>
            <w:r>
              <w:rPr>
                <w:b/>
                <w:bCs/>
              </w:rPr>
              <w:t xml:space="preserve">(0.04)</w:t>
            </w:r>
          </w:p>
        </w:tc>
      </w:tr>
    </w:tbl>
    <w:p>
      <w:pPr>
        <w:pStyle w:val="BodyText"/>
      </w:pPr>
      <w:r>
        <w:t xml:space="preserve">Management also indicated at its June investor conference that</w:t>
      </w:r>
      <w:r>
        <w:t xml:space="preserve"> </w:t>
      </w:r>
      <w:r>
        <w:rPr>
          <w:b/>
          <w:bCs/>
        </w:rPr>
        <w:t xml:space="preserve">Q4 organic sales should be about flat</w:t>
      </w:r>
      <w:r>
        <w:t xml:space="preserve"> </w:t>
      </w:r>
      <w:r>
        <w:t xml:space="preserve">excluding the noise from the ERP comparison and GOJO. That statement is arguably the core operational benchmark for the release.</w:t>
      </w:r>
    </w:p>
    <w:bookmarkStart w:id="10" w:name="guide-implied-q4-expectations"/>
    <w:p>
      <w:pPr>
        <w:pStyle w:val="Heading3"/>
      </w:pPr>
      <w:r>
        <w:t xml:space="preserve">Guide-implied Q4 expectations</w:t>
      </w:r>
    </w:p>
    <w:p>
      <w:pPr>
        <w:pStyle w:val="FirstParagraph"/>
      </w:pPr>
      <w:r>
        <w:t xml:space="preserve">Using reported Q1–Q3 adjusted EPS of</w:t>
      </w:r>
      <w:r>
        <w:t xml:space="preserve"> </w:t>
      </w:r>
      <w:r>
        <w:rPr>
          <w:b/>
          <w:bCs/>
        </w:rPr>
        <w:t xml:space="preserve">$0.85, $1.39, and $1.64</w:t>
      </w:r>
      <w:r>
        <w:t xml:space="preserve">, respectively, the FY guide implies fiscal Q4 adjusted EPS of roughly:</w:t>
      </w:r>
    </w:p>
    <w:p>
      <w:pPr>
        <w:pStyle w:val="Compact"/>
        <w:numPr>
          <w:ilvl w:val="0"/>
          <w:numId w:val="1002"/>
        </w:numPr>
      </w:pPr>
      <m:oMath>
        <m:r>
          <m:t>1.57</m:t>
        </m:r>
        <m:r>
          <m:rPr>
            <m:sty m:val="p"/>
          </m:rPr>
          <m:t>–</m:t>
        </m:r>
      </m:oMath>
      <w:r>
        <w:rPr>
          <w:b/>
          <w:bCs/>
        </w:rPr>
        <w:t xml:space="preserve">1.77</w:t>
      </w:r>
      <w:r>
        <w:t xml:space="preserve">, or</w:t>
      </w:r>
      <w:r>
        <w:t xml:space="preserve"> </w:t>
      </w:r>
      <w:r>
        <w:rPr>
          <w:b/>
          <w:bCs/>
        </w:rPr>
        <w:t xml:space="preserve">$1.67 at the midpoint</w:t>
      </w:r>
    </w:p>
    <w:p>
      <w:pPr>
        <w:pStyle w:val="FirstParagraph"/>
      </w:pPr>
      <w:r>
        <w:t xml:space="preserve">The comparable FY2025 Q4 adjusted EPS was</w:t>
      </w:r>
      <w:r>
        <w:t xml:space="preserve"> </w:t>
      </w:r>
      <w:r>
        <w:rPr>
          <w:b/>
          <w:bCs/>
        </w:rPr>
        <w:t xml:space="preserve">$2.87</w:t>
      </w:r>
      <w:r>
        <w:t xml:space="preserve">, but that quarter included the large ERP-related pull-forward benefit. Therefore, the more useful question is whether Clorox can deliver the implied Q4 result while showing an underlying sales and margin trajectory that supports FY2027 improvement.</w:t>
      </w:r>
    </w:p>
    <w:p>
      <w:pPr>
        <w:pStyle w:val="BodyText"/>
      </w:pPr>
      <w:r>
        <w:t xml:space="preserve">Based on FY2025 revenue of</w:t>
      </w:r>
      <w:r>
        <w:t xml:space="preserve"> </w:t>
      </w:r>
      <m:oMath>
        <m:r>
          <m:t>7.10</m:t>
        </m:r>
        <m:r>
          <m:t>b</m:t>
        </m:r>
        <m:r>
          <m:t>i</m:t>
        </m:r>
        <m:r>
          <m:t>l</m:t>
        </m:r>
        <m:r>
          <m:t>l</m:t>
        </m:r>
        <m:r>
          <m:t>i</m:t>
        </m:r>
        <m:r>
          <m:t>o</m:t>
        </m:r>
        <m:r>
          <m:t>n</m:t>
        </m:r>
        <m:r>
          <m:t>a</m:t>
        </m:r>
        <m:r>
          <m:t>n</m:t>
        </m:r>
        <m:r>
          <m:t>d</m:t>
        </m:r>
        <m:r>
          <m:t>F</m:t>
        </m:r>
        <m:r>
          <m:t>Y</m:t>
        </m:r>
        <m:r>
          <m:t>2026</m:t>
        </m:r>
        <m:r>
          <m:t>g</m:t>
        </m:r>
        <m:r>
          <m:t>u</m:t>
        </m:r>
        <m:r>
          <m:t>i</m:t>
        </m:r>
        <m:r>
          <m:t>d</m:t>
        </m:r>
        <m:r>
          <m:t>a</m:t>
        </m:r>
        <m:r>
          <m:t>n</m:t>
        </m:r>
        <m:r>
          <m:t>c</m:t>
        </m:r>
        <m:r>
          <m:t>e</m:t>
        </m:r>
        <m:r>
          <m:t>f</m:t>
        </m:r>
        <m:r>
          <m:t>o</m:t>
        </m:r>
        <m:r>
          <m:t>r</m:t>
        </m:r>
        <m:r>
          <m:t>s</m:t>
        </m:r>
        <m:r>
          <m:t>a</m:t>
        </m:r>
        <m:r>
          <m:t>l</m:t>
        </m:r>
        <m:r>
          <m:t>e</m:t>
        </m:r>
        <m:r>
          <m:t>s</m:t>
        </m:r>
        <m:r>
          <m:t>t</m:t>
        </m:r>
        <m:r>
          <m:t>o</m:t>
        </m:r>
        <m:r>
          <m:t>d</m:t>
        </m:r>
        <m:r>
          <m:t>e</m:t>
        </m:r>
        <m:r>
          <m:t>c</m:t>
        </m:r>
        <m:r>
          <m:t>l</m:t>
        </m:r>
        <m:r>
          <m:t>i</m:t>
        </m:r>
        <m:r>
          <m:t>n</m:t>
        </m:r>
        <m:r>
          <m:t>e</m:t>
        </m:r>
        <m:r>
          <m:t>a</m:t>
        </m:r>
        <m:r>
          <m:t>b</m:t>
        </m:r>
        <m:r>
          <m:t>o</m:t>
        </m:r>
        <m:r>
          <m:t>u</m:t>
        </m:r>
        <m:r>
          <m:t>t</m:t>
        </m:r>
        <m:r>
          <m:t>6</m:t>
        </m:r>
      </m:oMath>
      <w:r>
        <w:t xml:space="preserve">1.9 billion**, down roughly</w:t>
      </w:r>
      <w:r>
        <w:t xml:space="preserve"> </w:t>
      </w:r>
      <w:r>
        <w:rPr>
          <w:b/>
          <w:bCs/>
        </w:rPr>
        <w:t xml:space="preserve">4% year over year</w:t>
      </w:r>
      <w:r>
        <w:t xml:space="preserve">. This too is heavily influenced by the unusually elevated prior-year base.</w:t>
      </w:r>
    </w:p>
    <w:bookmarkEnd w:id="10"/>
    <w:bookmarkEnd w:id="11"/>
    <w:bookmarkStart w:id="16" w:name="Xadbcfdaa715fbcefc3b7060f21a9da850c3e4f3"/>
    <w:p>
      <w:pPr>
        <w:pStyle w:val="Heading2"/>
      </w:pPr>
      <w:r>
        <w:t xml:space="preserve">The key debate: can Clorox show a credible FY2027 setup?</w:t>
      </w:r>
    </w:p>
    <w:bookmarkStart w:id="12" w:name="X83f0e9b3ae9e158d166f9485e2878f4dbf7b763"/>
    <w:p>
      <w:pPr>
        <w:pStyle w:val="Heading3"/>
      </w:pPr>
      <w:r>
        <w:t xml:space="preserve">1. Market-share recovery must become visible</w:t>
      </w:r>
    </w:p>
    <w:p>
      <w:pPr>
        <w:pStyle w:val="FirstParagraph"/>
      </w:pPr>
      <w:r>
        <w:t xml:space="preserve">Clorox described Q3 as mixed: organic sales declined 1%, and company sales were flat. Health &amp; Wellness was flat, Household grew 3%, Lifestyle fell 9%, and International organic sales grew 2%.</w:t>
      </w:r>
    </w:p>
    <w:p>
      <w:pPr>
        <w:pStyle w:val="BodyText"/>
      </w:pPr>
      <w:r>
        <w:t xml:space="preserve">The important qualitative message was sequential improvement in market-share trends—but not enough improvement. Investors should focus on whether the company can demonstrate that its operational disruption is now behind it and that investments are translating into measurable share progress.</w:t>
      </w:r>
    </w:p>
    <w:p>
      <w:pPr>
        <w:pStyle w:val="BodyText"/>
      </w:pPr>
      <w:r>
        <w:rPr>
          <w:b/>
          <w:bCs/>
        </w:rPr>
        <w:t xml:space="preserve">Areas to watch:</w:t>
      </w:r>
    </w:p>
    <w:p>
      <w:pPr>
        <w:pStyle w:val="Compact"/>
        <w:numPr>
          <w:ilvl w:val="0"/>
          <w:numId w:val="1003"/>
        </w:numPr>
      </w:pPr>
      <w:r>
        <w:rPr>
          <w:b/>
          <w:bCs/>
        </w:rPr>
        <w:t xml:space="preserve">Glad:</w:t>
      </w:r>
      <w:r>
        <w:t xml:space="preserve"> </w:t>
      </w:r>
      <w:r>
        <w:t xml:space="preserve">Management said Glad trash had returned to share growth, aided by new products, distribution work, and price-pack changes. Confirmation would be constructive.</w:t>
      </w:r>
    </w:p>
    <w:p>
      <w:pPr>
        <w:pStyle w:val="Compact"/>
        <w:numPr>
          <w:ilvl w:val="0"/>
          <w:numId w:val="1003"/>
        </w:numPr>
      </w:pPr>
      <w:r>
        <w:rPr>
          <w:b/>
          <w:bCs/>
        </w:rPr>
        <w:t xml:space="preserve">Fresh Step litter:</w:t>
      </w:r>
      <w:r>
        <w:t xml:space="preserve"> </w:t>
      </w:r>
      <w:r>
        <w:t xml:space="preserve">This remains the largest unresolved operational issue. Clorox has reset pricing, sizing, packaging, formulation, and shelf placement, but the transition created disruption. The company has said it expects further progress as execution improves, while more substantial innovation arrives in calendar 2027.</w:t>
      </w:r>
    </w:p>
    <w:p>
      <w:pPr>
        <w:pStyle w:val="Compact"/>
        <w:numPr>
          <w:ilvl w:val="0"/>
          <w:numId w:val="1003"/>
        </w:numPr>
      </w:pPr>
      <w:r>
        <w:rPr>
          <w:b/>
          <w:bCs/>
        </w:rPr>
        <w:t xml:space="preserve">Lifestyle / food:</w:t>
      </w:r>
      <w:r>
        <w:t xml:space="preserve"> </w:t>
      </w:r>
      <w:r>
        <w:t xml:space="preserve">Hidden Valley has faced soft category demand, partly attributed to changing consumer behavior and pressure in salad dressing. A stabilization in volume or share would matter.</w:t>
      </w:r>
    </w:p>
    <w:p>
      <w:pPr>
        <w:pStyle w:val="Compact"/>
        <w:numPr>
          <w:ilvl w:val="0"/>
          <w:numId w:val="1003"/>
        </w:numPr>
      </w:pPr>
      <w:r>
        <w:rPr>
          <w:b/>
          <w:bCs/>
        </w:rPr>
        <w:t xml:space="preserve">Cleaning and Professional Products:</w:t>
      </w:r>
      <w:r>
        <w:t xml:space="preserve"> </w:t>
      </w:r>
      <w:r>
        <w:t xml:space="preserve">These are the company’s strongest businesses and should provide evidence that the core brand-building playbook still works.</w:t>
      </w:r>
    </w:p>
    <w:p>
      <w:pPr>
        <w:pStyle w:val="FirstParagraph"/>
      </w:pPr>
      <w:r>
        <w:t xml:space="preserve">A quarter that achieves the earnings guide but shows no share progress—particularly in litter—would likely be viewed poorly.</w:t>
      </w:r>
    </w:p>
    <w:bookmarkEnd w:id="12"/>
    <w:bookmarkStart w:id="13" w:name="Xe1b4185fdd70b1afe90df1d4710a3894a0db707"/>
    <w:p>
      <w:pPr>
        <w:pStyle w:val="Heading3"/>
      </w:pPr>
      <w:r>
        <w:t xml:space="preserve">2. Gross margin is the major near-term risk</w:t>
      </w:r>
    </w:p>
    <w:p>
      <w:pPr>
        <w:pStyle w:val="FirstParagraph"/>
      </w:pPr>
      <w:r>
        <w:t xml:space="preserve">Q3 gross margin fell</w:t>
      </w:r>
      <w:r>
        <w:t xml:space="preserve"> </w:t>
      </w:r>
      <w:r>
        <w:rPr>
          <w:b/>
          <w:bCs/>
        </w:rPr>
        <w:t xml:space="preserve">140 bps</w:t>
      </w:r>
      <w:r>
        <w:t xml:space="preserve"> </w:t>
      </w:r>
      <w:r>
        <w:t xml:space="preserve">year over year to</w:t>
      </w:r>
      <w:r>
        <w:t xml:space="preserve"> </w:t>
      </w:r>
      <w:r>
        <w:rPr>
          <w:b/>
          <w:bCs/>
        </w:rPr>
        <w:t xml:space="preserve">43.2%</w:t>
      </w:r>
      <w:r>
        <w:t xml:space="preserve">, hurt by higher manufacturing and logistics expenses and unfavorable mix. For Q4, management flagged an incremental</w:t>
      </w:r>
      <w:r>
        <w:t xml:space="preserve"> </w:t>
      </w:r>
      <m:oMath>
        <m:r>
          <m:t>20</m:t>
        </m:r>
        <m:r>
          <m:rPr>
            <m:sty m:val="p"/>
          </m:rPr>
          <m:t>–</m:t>
        </m:r>
      </m:oMath>
      <w:r>
        <w:rPr>
          <w:b/>
          <w:bCs/>
        </w:rPr>
        <w:t xml:space="preserve">25 million</w:t>
      </w:r>
      <w:r>
        <w:t xml:space="preserve"> </w:t>
      </w:r>
      <w:r>
        <w:t xml:space="preserve">supply-chain inflation headwind tied to energy costs, equal to just under</w:t>
      </w:r>
      <w:r>
        <w:t xml:space="preserve"> </w:t>
      </w:r>
      <w:r>
        <w:rPr>
          <w:b/>
          <w:bCs/>
        </w:rPr>
        <w:t xml:space="preserve">150 bps</w:t>
      </w:r>
      <w:r>
        <w:t xml:space="preserve"> </w:t>
      </w:r>
      <w:r>
        <w:t xml:space="preserve">of gross-margin pressure.</w:t>
      </w:r>
    </w:p>
    <w:p>
      <w:pPr>
        <w:pStyle w:val="BodyText"/>
      </w:pPr>
      <w:r>
        <w:t xml:space="preserve">Management indicated reported Q4 gross margin could be only</w:t>
      </w:r>
      <w:r>
        <w:t xml:space="preserve"> </w:t>
      </w:r>
      <w:r>
        <w:rPr>
          <w:b/>
          <w:bCs/>
        </w:rPr>
        <w:t xml:space="preserve">41–42%</w:t>
      </w:r>
      <w:r>
        <w:t xml:space="preserve">, although it estimated that excluding roughly</w:t>
      </w:r>
      <w:r>
        <w:t xml:space="preserve"> </w:t>
      </w:r>
      <w:r>
        <w:rPr>
          <w:b/>
          <w:bCs/>
        </w:rPr>
        <w:t xml:space="preserve">150 bps</w:t>
      </w:r>
      <w:r>
        <w:t xml:space="preserve"> </w:t>
      </w:r>
      <w:r>
        <w:t xml:space="preserve">of GOJO-related transaction and inventory-step-up costs, the underlying figure would be around</w:t>
      </w:r>
      <w:r>
        <w:t xml:space="preserve"> </w:t>
      </w:r>
      <w:r>
        <w:rPr>
          <w:b/>
          <w:bCs/>
        </w:rPr>
        <w:t xml:space="preserve">43%</w:t>
      </w:r>
      <w:r>
        <w:t xml:space="preserve">.</w:t>
      </w:r>
    </w:p>
    <w:p>
      <w:pPr>
        <w:pStyle w:val="BodyText"/>
      </w:pPr>
      <w:r>
        <w:t xml:space="preserve">That distinction is important:</w:t>
      </w:r>
    </w:p>
    <w:p>
      <w:pPr>
        <w:pStyle w:val="Compact"/>
        <w:numPr>
          <w:ilvl w:val="0"/>
          <w:numId w:val="1004"/>
        </w:numPr>
      </w:pPr>
      <w:r>
        <w:rPr>
          <w:b/>
          <w:bCs/>
        </w:rPr>
        <w:t xml:space="preserve">Bear interpretation:</w:t>
      </w:r>
      <w:r>
        <w:t xml:space="preserve"> </w:t>
      </w:r>
      <w:r>
        <w:t xml:space="preserve">reported margin remains weak, cost inflation is intensifying, and recovery may take longer.</w:t>
      </w:r>
    </w:p>
    <w:p>
      <w:pPr>
        <w:pStyle w:val="Compact"/>
        <w:numPr>
          <w:ilvl w:val="0"/>
          <w:numId w:val="1004"/>
        </w:numPr>
      </w:pPr>
      <w:r>
        <w:rPr>
          <w:b/>
          <w:bCs/>
        </w:rPr>
        <w:t xml:space="preserve">Bull interpretation:</w:t>
      </w:r>
      <w:r>
        <w:t xml:space="preserve"> </w:t>
      </w:r>
      <w:r>
        <w:t xml:space="preserve">the underlying margin exit rate is stable near 43%, while GOJO charges are temporary and should not recur at the same magnitude.</w:t>
      </w:r>
    </w:p>
    <w:p>
      <w:pPr>
        <w:pStyle w:val="FirstParagraph"/>
      </w:pPr>
      <w:r>
        <w:t xml:space="preserve">Investors should demand clarity on the timing of pricing, productivity, procurement actions, and mix recovery needed to offset energy, logistics, and commodity pressure in FY2027.</w:t>
      </w:r>
    </w:p>
    <w:bookmarkEnd w:id="13"/>
    <w:bookmarkStart w:id="14" w:name="X6edb1e0b79025d5491b594dbc693572bba89ff6"/>
    <w:p>
      <w:pPr>
        <w:pStyle w:val="Heading3"/>
      </w:pPr>
      <w:r>
        <w:t xml:space="preserve">3. GOJO/Purell is now central to the story</w:t>
      </w:r>
    </w:p>
    <w:p>
      <w:pPr>
        <w:pStyle w:val="FirstParagraph"/>
      </w:pPr>
      <w:r>
        <w:t xml:space="preserve">Clorox completed the roughly</w:t>
      </w:r>
      <w:r>
        <w:t xml:space="preserve"> </w:t>
      </w:r>
      <w:r>
        <w:rPr>
          <w:b/>
          <w:bCs/>
        </w:rPr>
        <w:t xml:space="preserve">$2.25 billion</w:t>
      </w:r>
      <w:r>
        <w:t xml:space="preserve"> </w:t>
      </w:r>
      <w:r>
        <w:t xml:space="preserve">acquisition of GOJO, maker of Purell, on April 1. Q4 will be the first full quarter in which the business is part of results.</w:t>
      </w:r>
    </w:p>
    <w:p>
      <w:pPr>
        <w:pStyle w:val="BodyText"/>
      </w:pPr>
      <w:r>
        <w:t xml:space="preserve">The strategic appeal is clear: Purell expands Clorox’s health-and-hygiene portfolio, deepens its professional/B2B reach, and provides a recurring revenue element through GOJO’s installed dispenser base. Management has characterized GOJO as an approximately</w:t>
      </w:r>
      <w:r>
        <w:t xml:space="preserve"> </w:t>
      </w:r>
      <w:r>
        <w:rPr>
          <w:b/>
          <w:bCs/>
        </w:rPr>
        <w:t xml:space="preserve">$800 million</w:t>
      </w:r>
      <w:r>
        <w:t xml:space="preserve"> </w:t>
      </w:r>
      <w:r>
        <w:t xml:space="preserve">business growing at a mid-single-digit rate, with potential for mid- to high-single-digit growth over time.</w:t>
      </w:r>
    </w:p>
    <w:p>
      <w:pPr>
        <w:pStyle w:val="BodyText"/>
      </w:pPr>
      <w:r>
        <w:t xml:space="preserve">However, GOJO changes the P&amp;L mix:</w:t>
      </w:r>
    </w:p>
    <w:p>
      <w:pPr>
        <w:pStyle w:val="Compact"/>
        <w:numPr>
          <w:ilvl w:val="0"/>
          <w:numId w:val="1005"/>
        </w:numPr>
      </w:pPr>
      <w:r>
        <w:t xml:space="preserve">Lower gross margin, around</w:t>
      </w:r>
      <w:r>
        <w:t xml:space="preserve"> </w:t>
      </w:r>
      <w:r>
        <w:rPr>
          <w:b/>
          <w:bCs/>
        </w:rPr>
        <w:t xml:space="preserve">40%</w:t>
      </w:r>
      <w:r>
        <w:t xml:space="preserve">, versus Clorox’s legacy profile;</w:t>
      </w:r>
    </w:p>
    <w:p>
      <w:pPr>
        <w:pStyle w:val="Compact"/>
        <w:numPr>
          <w:ilvl w:val="0"/>
          <w:numId w:val="1005"/>
        </w:numPr>
      </w:pPr>
      <w:r>
        <w:t xml:space="preserve">Lower advertising intensity;</w:t>
      </w:r>
    </w:p>
    <w:p>
      <w:pPr>
        <w:pStyle w:val="Compact"/>
        <w:numPr>
          <w:ilvl w:val="0"/>
          <w:numId w:val="1005"/>
        </w:numPr>
      </w:pPr>
      <w:r>
        <w:t xml:space="preserve">Higher SG&amp;A, due in part to a more salesforce-heavy professional model;</w:t>
      </w:r>
    </w:p>
    <w:p>
      <w:pPr>
        <w:pStyle w:val="Compact"/>
        <w:numPr>
          <w:ilvl w:val="0"/>
          <w:numId w:val="1005"/>
        </w:numPr>
      </w:pPr>
      <w:r>
        <w:t xml:space="preserve">EBITDA-margin neutral initially, with expected accretion after synergies.</w:t>
      </w:r>
    </w:p>
    <w:p>
      <w:pPr>
        <w:pStyle w:val="FirstParagraph"/>
      </w:pPr>
      <w:r>
        <w:t xml:space="preserve">The acquisition is expected to be neutral to EBITDA and EPS in the first year, then accretive in year two. The Q4 call should establish whether integration, retention, customer receptivity, and synergy identification are proceeding as planned.</w:t>
      </w:r>
    </w:p>
    <w:bookmarkEnd w:id="14"/>
    <w:bookmarkStart w:id="15" w:name="X498fbab2f8e029b518fae0555eebcfb0de92b47"/>
    <w:p>
      <w:pPr>
        <w:pStyle w:val="Heading3"/>
      </w:pPr>
      <w:r>
        <w:t xml:space="preserve">4. FY2027 guidance and the ERP normalization could drive the stock</w:t>
      </w:r>
    </w:p>
    <w:p>
      <w:pPr>
        <w:pStyle w:val="FirstParagraph"/>
      </w:pPr>
      <w:r>
        <w:t xml:space="preserve">The FY2026 result is depressed by the reversal of FY2025’s ERP-related shipment pull-forward. Management has quantified this as a roughly</w:t>
      </w:r>
      <w:r>
        <w:t xml:space="preserve"> </w:t>
      </w:r>
      <w:r>
        <w:rPr>
          <w:b/>
          <w:bCs/>
        </w:rPr>
        <w:t xml:space="preserve">$0.90 EPS headwind</w:t>
      </w:r>
      <w:r>
        <w:t xml:space="preserve"> </w:t>
      </w:r>
      <w:r>
        <w:t xml:space="preserve">in FY2026. That headwind should reverse in FY2027.</w:t>
      </w:r>
    </w:p>
    <w:p>
      <w:pPr>
        <w:pStyle w:val="BodyText"/>
      </w:pPr>
      <w:r>
        <w:t xml:space="preserve">At the June conference, management framed three exceptional FY2027 items:</w:t>
      </w:r>
    </w:p>
    <w:p>
      <w:pPr>
        <w:pStyle w:val="Compact"/>
        <w:numPr>
          <w:ilvl w:val="0"/>
          <w:numId w:val="1006"/>
        </w:numPr>
      </w:pPr>
      <w:r>
        <w:rPr>
          <w:b/>
          <w:bCs/>
        </w:rPr>
        <w:t xml:space="preserve">ERP comparison benefit:</w:t>
      </w:r>
      <w:r>
        <w:t xml:space="preserve"> </w:t>
      </w:r>
      <w:r>
        <w:t xml:space="preserve">approximately</w:t>
      </w:r>
      <w:r>
        <w:t xml:space="preserve"> </w:t>
      </w:r>
      <w:r>
        <w:rPr>
          <w:b/>
          <w:bCs/>
        </w:rPr>
        <w:t xml:space="preserve">+3.5 points of sales growth</w:t>
      </w:r>
      <w:r>
        <w:t xml:space="preserve"> </w:t>
      </w:r>
      <w:r>
        <w:t xml:space="preserve">and</w:t>
      </w:r>
      <w:r>
        <w:t xml:space="preserve"> </w:t>
      </w:r>
      <w:r>
        <w:rPr>
          <w:b/>
          <w:bCs/>
        </w:rPr>
        <w:t xml:space="preserve">+$0.90 EPS</w:t>
      </w:r>
      <w:r>
        <w:t xml:space="preserve">;</w:t>
      </w:r>
    </w:p>
    <w:p>
      <w:pPr>
        <w:pStyle w:val="Compact"/>
        <w:numPr>
          <w:ilvl w:val="0"/>
          <w:numId w:val="1006"/>
        </w:numPr>
      </w:pPr>
      <w:r>
        <w:rPr>
          <w:b/>
          <w:bCs/>
        </w:rPr>
        <w:t xml:space="preserve">GOJO:</w:t>
      </w:r>
      <w:r>
        <w:t xml:space="preserve"> </w:t>
      </w:r>
      <w:r>
        <w:t xml:space="preserve">more than</w:t>
      </w:r>
      <w:r>
        <w:t xml:space="preserve"> </w:t>
      </w:r>
      <w:r>
        <w:rPr>
          <w:b/>
          <w:bCs/>
        </w:rPr>
        <w:t xml:space="preserve">$600 million</w:t>
      </w:r>
      <w:r>
        <w:t xml:space="preserve"> </w:t>
      </w:r>
      <w:r>
        <w:t xml:space="preserve">of year-over-year sales contribution, but initially neutral to EBITDA and EPS;</w:t>
      </w:r>
    </w:p>
    <w:p>
      <w:pPr>
        <w:pStyle w:val="Compact"/>
        <w:numPr>
          <w:ilvl w:val="0"/>
          <w:numId w:val="1006"/>
        </w:numPr>
      </w:pPr>
      <w:r>
        <w:rPr>
          <w:b/>
          <w:bCs/>
        </w:rPr>
        <w:t xml:space="preserve">Incentive compensation:</w:t>
      </w:r>
      <w:r>
        <w:t xml:space="preserve"> </w:t>
      </w:r>
      <w:r>
        <w:t xml:space="preserve">a year-over-year headwind as lower FY2026 compensation normalizes.</w:t>
      </w:r>
    </w:p>
    <w:p>
      <w:pPr>
        <w:pStyle w:val="FirstParagraph"/>
      </w:pPr>
      <w:r>
        <w:t xml:space="preserve">The market will likely look through the arithmetic and focus on the quality of the underlying framework:</w:t>
      </w:r>
    </w:p>
    <w:p>
      <w:pPr>
        <w:pStyle w:val="Compact"/>
        <w:numPr>
          <w:ilvl w:val="0"/>
          <w:numId w:val="1007"/>
        </w:numPr>
      </w:pPr>
      <w:r>
        <w:t xml:space="preserve">What is the organic-category growth assumption?</w:t>
      </w:r>
    </w:p>
    <w:p>
      <w:pPr>
        <w:pStyle w:val="Compact"/>
        <w:numPr>
          <w:ilvl w:val="0"/>
          <w:numId w:val="1007"/>
        </w:numPr>
      </w:pPr>
      <w:r>
        <w:t xml:space="preserve">Can Clorox recapture share without materially increasing promotional spending?</w:t>
      </w:r>
    </w:p>
    <w:p>
      <w:pPr>
        <w:pStyle w:val="Compact"/>
        <w:numPr>
          <w:ilvl w:val="0"/>
          <w:numId w:val="1007"/>
        </w:numPr>
      </w:pPr>
      <w:r>
        <w:t xml:space="preserve">Can ERP-enabled efficiencies finally contribute to margins?</w:t>
      </w:r>
    </w:p>
    <w:p>
      <w:pPr>
        <w:pStyle w:val="Compact"/>
        <w:numPr>
          <w:ilvl w:val="0"/>
          <w:numId w:val="1007"/>
        </w:numPr>
      </w:pPr>
      <w:r>
        <w:t xml:space="preserve">How much inflation is embedded in the plan?</w:t>
      </w:r>
    </w:p>
    <w:p>
      <w:pPr>
        <w:pStyle w:val="Compact"/>
        <w:numPr>
          <w:ilvl w:val="0"/>
          <w:numId w:val="1007"/>
        </w:numPr>
      </w:pPr>
      <w:r>
        <w:t xml:space="preserve">Does management provide an EPS framework that validates a return to more normal earnings power?</w:t>
      </w:r>
    </w:p>
    <w:p>
      <w:pPr>
        <w:pStyle w:val="FirstParagraph"/>
      </w:pPr>
      <w:r>
        <w:t xml:space="preserve">A credible FY2027 framework could matter more than a modest Q4 EPS beat or miss.</w:t>
      </w:r>
    </w:p>
    <w:bookmarkEnd w:id="15"/>
    <w:bookmarkEnd w:id="16"/>
    <w:bookmarkStart w:id="17" w:name="X7772c0eca8f060b697062da6057bdf2046b34b4"/>
    <w:p>
      <w:pPr>
        <w:pStyle w:val="Heading2"/>
      </w:pPr>
      <w:r>
        <w:t xml:space="preserve">Leadership transition adds an additional execution variable</w:t>
      </w:r>
    </w:p>
    <w:p>
      <w:pPr>
        <w:pStyle w:val="FirstParagraph"/>
      </w:pPr>
      <w:r>
        <w:t xml:space="preserve">Chair and CEO</w:t>
      </w:r>
      <w:r>
        <w:t xml:space="preserve"> </w:t>
      </w:r>
      <w:r>
        <w:rPr>
          <w:b/>
          <w:bCs/>
        </w:rPr>
        <w:t xml:space="preserve">Linda Rendle</w:t>
      </w:r>
      <w:r>
        <w:t xml:space="preserve"> </w:t>
      </w:r>
      <w:r>
        <w:t xml:space="preserve">has initiated a transition process for health reasons and will remain in her roles until a successor is appointed. Clorox subsequently appointed</w:t>
      </w:r>
      <w:r>
        <w:t xml:space="preserve"> </w:t>
      </w:r>
      <w:r>
        <w:rPr>
          <w:b/>
          <w:bCs/>
        </w:rPr>
        <w:t xml:space="preserve">Chris Hyder</w:t>
      </w:r>
      <w:r>
        <w:t xml:space="preserve"> </w:t>
      </w:r>
      <w:r>
        <w:t xml:space="preserve">as COO and</w:t>
      </w:r>
      <w:r>
        <w:t xml:space="preserve"> </w:t>
      </w:r>
      <w:r>
        <w:rPr>
          <w:b/>
          <w:bCs/>
        </w:rPr>
        <w:t xml:space="preserve">Nina Barton</w:t>
      </w:r>
      <w:r>
        <w:t xml:space="preserve"> </w:t>
      </w:r>
      <w:r>
        <w:t xml:space="preserve">as Chief Growth &amp; Strategy Officer.</w:t>
      </w:r>
    </w:p>
    <w:p>
      <w:pPr>
        <w:pStyle w:val="BodyText"/>
      </w:pPr>
      <w:r>
        <w:t xml:space="preserve">The earnings call should provide an opportunity to assess whether the company’s operating priorities, capital-allocation discipline, and GOJO integration plans remain intact through the transition. Investors will also listen for any indication that the COO appointment is part of longer-term succession planning.</w:t>
      </w:r>
    </w:p>
    <w:bookmarkEnd w:id="17"/>
    <w:bookmarkStart w:id="18" w:name="X0644aba821829a81cf4e037670efdc8c51ace7b"/>
    <w:p>
      <w:pPr>
        <w:pStyle w:val="Heading2"/>
      </w:pPr>
      <w:r>
        <w:t xml:space="preserve">Balance sheet and capital allocation: less flexibility, but manageable if execution holds</w:t>
      </w:r>
    </w:p>
    <w:p>
      <w:pPr>
        <w:pStyle w:val="FirstParagraph"/>
      </w:pPr>
      <w:r>
        <w:t xml:space="preserve">The GOJO acquisition was debt-financed, and management expects to finish FY2026 at about</w:t>
      </w:r>
      <w:r>
        <w:t xml:space="preserve"> </w:t>
      </w:r>
      <w:r>
        <w:rPr>
          <w:b/>
          <w:bCs/>
        </w:rPr>
        <w:t xml:space="preserve">3.6x debt/EBITDA</w:t>
      </w:r>
      <w:r>
        <w:t xml:space="preserve">, versus its stated long-term target of</w:t>
      </w:r>
      <w:r>
        <w:t xml:space="preserve"> </w:t>
      </w:r>
      <w:r>
        <w:rPr>
          <w:b/>
          <w:bCs/>
        </w:rPr>
        <w:t xml:space="preserve">2.0x–2.5x</w:t>
      </w:r>
      <w:r>
        <w:t xml:space="preserve">. It intends to return to roughly</w:t>
      </w:r>
      <w:r>
        <w:t xml:space="preserve"> </w:t>
      </w:r>
      <w:r>
        <w:rPr>
          <w:b/>
          <w:bCs/>
        </w:rPr>
        <w:t xml:space="preserve">2.5x within two years</w:t>
      </w:r>
      <w:r>
        <w:t xml:space="preserve">.</w:t>
      </w:r>
    </w:p>
    <w:p>
      <w:pPr>
        <w:pStyle w:val="BodyText"/>
      </w:pPr>
      <w:r>
        <w:t xml:space="preserve">Implications:</w:t>
      </w:r>
    </w:p>
    <w:p>
      <w:pPr>
        <w:pStyle w:val="Compact"/>
        <w:numPr>
          <w:ilvl w:val="0"/>
          <w:numId w:val="1008"/>
        </w:numPr>
      </w:pPr>
      <w:r>
        <w:t xml:space="preserve">The dividend remains a priority.</w:t>
      </w:r>
    </w:p>
    <w:p>
      <w:pPr>
        <w:pStyle w:val="Compact"/>
        <w:numPr>
          <w:ilvl w:val="0"/>
          <w:numId w:val="1008"/>
        </w:numPr>
      </w:pPr>
      <w:r>
        <w:t xml:space="preserve">Share repurchases have been suspended until leverage falls.</w:t>
      </w:r>
    </w:p>
    <w:p>
      <w:pPr>
        <w:pStyle w:val="Compact"/>
        <w:numPr>
          <w:ilvl w:val="0"/>
          <w:numId w:val="1008"/>
        </w:numPr>
      </w:pPr>
      <w:r>
        <w:t xml:space="preserve">Free-cash-flow delivery and disciplined GOJO integration matter more than usual.</w:t>
      </w:r>
    </w:p>
    <w:p>
      <w:pPr>
        <w:pStyle w:val="Compact"/>
        <w:numPr>
          <w:ilvl w:val="0"/>
          <w:numId w:val="1008"/>
        </w:numPr>
      </w:pPr>
      <w:r>
        <w:t xml:space="preserve">Any further earnings pressure would create more concern around deleveraging capacity.</w:t>
      </w:r>
    </w:p>
    <w:bookmarkEnd w:id="18"/>
    <w:bookmarkStart w:id="19" w:name="stock-setup"/>
    <w:p>
      <w:pPr>
        <w:pStyle w:val="Heading2"/>
      </w:pPr>
      <w:r>
        <w:t xml:space="preserve">Stock setup</w:t>
      </w:r>
    </w:p>
    <w:p>
      <w:pPr>
        <w:pStyle w:val="FirstParagraph"/>
      </w:pPr>
      <w:r>
        <w:t xml:space="preserve">CLX closed at</w:t>
      </w:r>
      <w:r>
        <w:t xml:space="preserve"> </w:t>
      </w:r>
      <m:oMath>
        <m:r>
          <m:t>95.55</m:t>
        </m:r>
        <m:r>
          <m:t>o</m:t>
        </m:r>
        <m:r>
          <m:t>n</m:t>
        </m:r>
        <m:r>
          <m:t>J</m:t>
        </m:r>
        <m:r>
          <m:t>u</m:t>
        </m:r>
        <m:r>
          <m:t>l</m:t>
        </m:r>
        <m:r>
          <m:t>y</m:t>
        </m:r>
        <m:r>
          <m:t>31</m:t>
        </m:r>
        <m:r>
          <m:rPr>
            <m:sty m:val="p"/>
          </m:rPr>
          <m:t>*</m:t>
        </m:r>
        <m:r>
          <m:rPr>
            <m:sty m:val="p"/>
          </m:rPr>
          <m:t>*</m:t>
        </m:r>
        <m:r>
          <m:rPr>
            <m:sty m:val="p"/>
          </m:rPr>
          <m:t>,</m:t>
        </m:r>
        <m:r>
          <m:t>e</m:t>
        </m:r>
        <m:r>
          <m:t>s</m:t>
        </m:r>
        <m:r>
          <m:t>s</m:t>
        </m:r>
        <m:r>
          <m:t>e</m:t>
        </m:r>
        <m:r>
          <m:t>n</m:t>
        </m:r>
        <m:r>
          <m:t>t</m:t>
        </m:r>
        <m:r>
          <m:t>i</m:t>
        </m:r>
        <m:r>
          <m:t>a</m:t>
        </m:r>
        <m:r>
          <m:t>l</m:t>
        </m:r>
        <m:r>
          <m:t>l</m:t>
        </m:r>
        <m:r>
          <m:t>y</m:t>
        </m:r>
        <m:r>
          <m:t>f</m:t>
        </m:r>
        <m:r>
          <m:t>l</m:t>
        </m:r>
        <m:r>
          <m:t>a</m:t>
        </m:r>
        <m:r>
          <m:t>t</m:t>
        </m:r>
        <m:r>
          <m:t>v</m:t>
        </m:r>
        <m:r>
          <m:t>e</m:t>
        </m:r>
        <m:r>
          <m:t>r</m:t>
        </m:r>
        <m:r>
          <m:t>s</m:t>
        </m:r>
        <m:r>
          <m:t>u</m:t>
        </m:r>
        <m:r>
          <m:t>s</m:t>
        </m:r>
        <m:r>
          <m:t>i</m:t>
        </m:r>
        <m:r>
          <m:t>t</m:t>
        </m:r>
        <m:r>
          <m:t>s</m:t>
        </m:r>
        <m:r>
          <m:rPr>
            <m:sty m:val="p"/>
          </m:rPr>
          <m:t>*</m:t>
        </m:r>
        <m:r>
          <m:rPr>
            <m:sty m:val="p"/>
          </m:rPr>
          <m:t>*</m:t>
        </m:r>
      </m:oMath>
      <w:r>
        <w:rPr>
          <w:b/>
          <w:bCs/>
        </w:rPr>
        <w:t xml:space="preserve">96.44</w:t>
      </w:r>
      <w:r>
        <w:t xml:space="preserve"> </w:t>
      </w:r>
      <w:r>
        <w:t xml:space="preserve">close immediately before the April 30 Q3 report, while the S&amp;P 500 rose about 4% over that period. The stock fell sharply following the Q3 release and updated outlook, suggesting investors remain skeptical about margin pressure, consumer softness, market-share recovery, and the execution burden from GOJO and the CEO transition.</w:t>
      </w:r>
    </w:p>
    <w:p>
      <w:pPr>
        <w:pStyle w:val="BodyText"/>
      </w:pPr>
      <w:r>
        <w:t xml:space="preserve">That creates room for a positive reaction if Clorox can pair an in-line Q4 with credible evidence of:</w:t>
      </w:r>
    </w:p>
    <w:p>
      <w:pPr>
        <w:pStyle w:val="Compact"/>
        <w:numPr>
          <w:ilvl w:val="0"/>
          <w:numId w:val="1009"/>
        </w:numPr>
      </w:pPr>
      <w:r>
        <w:t xml:space="preserve">flat-to-improving underlying organic sales;</w:t>
      </w:r>
    </w:p>
    <w:p>
      <w:pPr>
        <w:pStyle w:val="Compact"/>
        <w:numPr>
          <w:ilvl w:val="0"/>
          <w:numId w:val="1009"/>
        </w:numPr>
      </w:pPr>
      <w:r>
        <w:t xml:space="preserve">tangible share recovery;</w:t>
      </w:r>
    </w:p>
    <w:p>
      <w:pPr>
        <w:pStyle w:val="Compact"/>
        <w:numPr>
          <w:ilvl w:val="0"/>
          <w:numId w:val="1009"/>
        </w:numPr>
      </w:pPr>
      <w:r>
        <w:t xml:space="preserve">a stable ex-transaction margin exit rate;</w:t>
      </w:r>
    </w:p>
    <w:p>
      <w:pPr>
        <w:pStyle w:val="Compact"/>
        <w:numPr>
          <w:ilvl w:val="0"/>
          <w:numId w:val="1009"/>
        </w:numPr>
      </w:pPr>
      <w:r>
        <w:t xml:space="preserve">clean GOJO integration; and</w:t>
      </w:r>
    </w:p>
    <w:p>
      <w:pPr>
        <w:pStyle w:val="Compact"/>
        <w:numPr>
          <w:ilvl w:val="0"/>
          <w:numId w:val="1009"/>
        </w:numPr>
      </w:pPr>
      <w:r>
        <w:t xml:space="preserve">a credible FY2027 earnings bridge.</w:t>
      </w:r>
    </w:p>
    <w:bookmarkEnd w:id="19"/>
    <w:bookmarkStart w:id="23" w:name="bottom-line"/>
    <w:p>
      <w:pPr>
        <w:pStyle w:val="Heading2"/>
      </w:pPr>
      <w:r>
        <w:t xml:space="preserve">Bottom line</w:t>
      </w:r>
    </w:p>
    <w:p>
      <w:pPr>
        <w:pStyle w:val="FirstParagraph"/>
      </w:pPr>
      <w:r>
        <w:rPr>
          <w:b/>
          <w:bCs/>
        </w:rPr>
        <w:t xml:space="preserve">The central issue is not whether Clorox clears a mechanically depressed FY2026 Q4 comparison. It is whether the company can demonstrate that FY2026 was the trough year created by ERP timing, integration costs, and temporary inflation—not the beginning of a structurally weaker earnings profile.</w:t>
      </w:r>
    </w:p>
    <w:bookmarkStart w:id="20" w:name="what-would-be-bullish"/>
    <w:p>
      <w:pPr>
        <w:pStyle w:val="Heading3"/>
      </w:pPr>
      <w:r>
        <w:t xml:space="preserve">What would be bullish</w:t>
      </w:r>
    </w:p>
    <w:p>
      <w:pPr>
        <w:pStyle w:val="Compact"/>
        <w:numPr>
          <w:ilvl w:val="0"/>
          <w:numId w:val="1010"/>
        </w:numPr>
      </w:pPr>
      <w:r>
        <w:t xml:space="preserve">Organic sales at or better than the company’s “about flat” Q4 commentary;</w:t>
      </w:r>
    </w:p>
    <w:p>
      <w:pPr>
        <w:pStyle w:val="Compact"/>
        <w:numPr>
          <w:ilvl w:val="0"/>
          <w:numId w:val="1010"/>
        </w:numPr>
      </w:pPr>
      <w:r>
        <w:t xml:space="preserve">Clear sequential market-share gains, especially in litter and Glad;</w:t>
      </w:r>
    </w:p>
    <w:p>
      <w:pPr>
        <w:pStyle w:val="Compact"/>
        <w:numPr>
          <w:ilvl w:val="0"/>
          <w:numId w:val="1010"/>
        </w:numPr>
      </w:pPr>
      <w:r>
        <w:t xml:space="preserve">Underlying gross margin near the ~43% exit-rate framing;</w:t>
      </w:r>
    </w:p>
    <w:p>
      <w:pPr>
        <w:pStyle w:val="Compact"/>
        <w:numPr>
          <w:ilvl w:val="0"/>
          <w:numId w:val="1010"/>
        </w:numPr>
      </w:pPr>
      <w:r>
        <w:t xml:space="preserve">No incremental GOJO cost, synergy, or integration surprises;</w:t>
      </w:r>
    </w:p>
    <w:p>
      <w:pPr>
        <w:pStyle w:val="Compact"/>
        <w:numPr>
          <w:ilvl w:val="0"/>
          <w:numId w:val="1010"/>
        </w:numPr>
      </w:pPr>
      <w:r>
        <w:t xml:space="preserve">FY2027 guidance showing ERP normalization translating into genuine earnings recovery.</w:t>
      </w:r>
    </w:p>
    <w:bookmarkEnd w:id="20"/>
    <w:bookmarkStart w:id="21" w:name="what-would-be-bearish"/>
    <w:p>
      <w:pPr>
        <w:pStyle w:val="Heading3"/>
      </w:pPr>
      <w:r>
        <w:t xml:space="preserve">What would be bearish</w:t>
      </w:r>
    </w:p>
    <w:p>
      <w:pPr>
        <w:pStyle w:val="Compact"/>
        <w:numPr>
          <w:ilvl w:val="0"/>
          <w:numId w:val="1011"/>
        </w:numPr>
      </w:pPr>
      <w:r>
        <w:t xml:space="preserve">Another guide reset due to inflation, promotional investment, or weak consumption;</w:t>
      </w:r>
    </w:p>
    <w:p>
      <w:pPr>
        <w:pStyle w:val="Compact"/>
        <w:numPr>
          <w:ilvl w:val="0"/>
          <w:numId w:val="1011"/>
        </w:numPr>
      </w:pPr>
      <w:r>
        <w:t xml:space="preserve">Continued Fresh Step share losses or worsening Lifestyle trends;</w:t>
      </w:r>
    </w:p>
    <w:p>
      <w:pPr>
        <w:pStyle w:val="Compact"/>
        <w:numPr>
          <w:ilvl w:val="0"/>
          <w:numId w:val="1011"/>
        </w:numPr>
      </w:pPr>
      <w:r>
        <w:t xml:space="preserve">Evidence that GOJO is more dilutive or more operationally complex than expected;</w:t>
      </w:r>
    </w:p>
    <w:p>
      <w:pPr>
        <w:pStyle w:val="Compact"/>
        <w:numPr>
          <w:ilvl w:val="0"/>
          <w:numId w:val="1011"/>
        </w:numPr>
      </w:pPr>
      <w:r>
        <w:t xml:space="preserve">A weak FY2027 organic-sales or margin framework despite the favorable ERP comparison;</w:t>
      </w:r>
    </w:p>
    <w:p>
      <w:pPr>
        <w:pStyle w:val="Compact"/>
        <w:numPr>
          <w:ilvl w:val="0"/>
          <w:numId w:val="1011"/>
        </w:numPr>
      </w:pPr>
      <w:r>
        <w:t xml:space="preserve">Less confidence in deleveraging or a more uncertain leadership-transition timeline.</w:t>
      </w:r>
    </w:p>
    <w:bookmarkEnd w:id="21"/>
    <w:bookmarkStart w:id="22" w:name="sources-reviewed"/>
    <w:p>
      <w:pPr>
        <w:pStyle w:val="Heading3"/>
      </w:pPr>
      <w:r>
        <w:t xml:space="preserve">Sources reviewed</w:t>
      </w:r>
    </w:p>
    <w:p>
      <w:pPr>
        <w:pStyle w:val="Compact"/>
        <w:numPr>
          <w:ilvl w:val="0"/>
          <w:numId w:val="1012"/>
        </w:numPr>
      </w:pPr>
      <w:r>
        <w:t xml:space="preserve">Clorox FY2026 Q3 earnings release and earnings call, April 30, 2026</w:t>
      </w:r>
    </w:p>
    <w:p>
      <w:pPr>
        <w:pStyle w:val="Compact"/>
        <w:numPr>
          <w:ilvl w:val="0"/>
          <w:numId w:val="1012"/>
        </w:numPr>
      </w:pPr>
      <w:r>
        <w:t xml:space="preserve">Clorox presentation at Deutsche Bank Global Consumer Conference, June 3, 2026</w:t>
      </w:r>
    </w:p>
    <w:p>
      <w:pPr>
        <w:pStyle w:val="Compact"/>
        <w:numPr>
          <w:ilvl w:val="0"/>
          <w:numId w:val="1012"/>
        </w:numPr>
      </w:pPr>
      <w:r>
        <w:t xml:space="preserve">Clorox CEO-transition announcement, May 28, 2026</w:t>
      </w:r>
    </w:p>
    <w:p>
      <w:pPr>
        <w:pStyle w:val="Compact"/>
        <w:numPr>
          <w:ilvl w:val="0"/>
          <w:numId w:val="1012"/>
        </w:numPr>
      </w:pPr>
      <w:r>
        <w:t xml:space="preserve">Clorox COO/Chief Growth &amp; Strategy Officer appointment filing, June 17, 2026</w:t>
      </w:r>
    </w:p>
    <w:p>
      <w:pPr>
        <w:pStyle w:val="Compact"/>
        <w:numPr>
          <w:ilvl w:val="0"/>
          <w:numId w:val="1012"/>
        </w:numPr>
      </w:pPr>
      <w:r>
        <w:t xml:space="preserve">Clorox FY2025 Q4 earnings release, July 31, 2025</w:t>
      </w:r>
    </w:p>
    <w:p>
      <w:pPr>
        <w:pStyle w:val="Compact"/>
        <w:numPr>
          <w:ilvl w:val="0"/>
          <w:numId w:val="1012"/>
        </w:numPr>
      </w:pPr>
      <w:r>
        <w:t xml:space="preserve">Clorox FY2026 Q4 reporting schedule announcement, July 13,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2026-08-03T00:17:38Z</dcterms:created>
  <dcterms:modified xsi:type="dcterms:W3CDTF">2026-08-03T00:17:38Z</dcterms:modified>
</cp:coreProperties>
</file>

<file path=docProps/custom.xml><?xml version="1.0" encoding="utf-8"?>
<Properties xmlns="http://schemas.openxmlformats.org/officeDocument/2006/custom-properties" xmlns:vt="http://schemas.openxmlformats.org/officeDocument/2006/docPropsVTypes"/>
</file>