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The Clorox Company (CLX) —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The Clorox Company</w:t>
            </w:r>
          </w:p>
        </w:tc>
        <w:tc>
          <w:tcPr>
            <w:tcW w:type="dxa" w:w="2160"/>
          </w:tcPr>
          <w:p>
            <w:r>
              <w:rPr>
                <w:rFonts w:ascii="Calibri" w:hAnsi="Calibri"/>
                <w:b/>
                <w:sz w:val="22"/>
              </w:rPr>
              <w:t>Ticker</w:t>
            </w:r>
          </w:p>
        </w:tc>
        <w:tc>
          <w:tcPr>
            <w:tcW w:type="dxa" w:w="2160"/>
          </w:tcPr>
          <w:p>
            <w:r>
              <w:rPr>
                <w:rFonts w:ascii="Calibri" w:hAnsi="Calibri"/>
                <w:sz w:val="22"/>
              </w:rPr>
              <w:t>CLX</w:t>
            </w:r>
          </w:p>
        </w:tc>
      </w:tr>
      <w:tr>
        <w:tc>
          <w:tcPr>
            <w:tcW w:type="dxa" w:w="2160"/>
          </w:tcPr>
          <w:p>
            <w:r>
              <w:rPr>
                <w:rFonts w:ascii="Calibri" w:hAnsi="Calibri"/>
                <w:b/>
                <w:sz w:val="22"/>
              </w:rPr>
              <w:t>Reporting Period</w:t>
            </w:r>
          </w:p>
        </w:tc>
        <w:tc>
          <w:tcPr>
            <w:tcW w:type="dxa" w:w="2160"/>
          </w:tcPr>
          <w:p>
            <w:r>
              <w:rPr>
                <w:rFonts w:ascii="Calibri" w:hAnsi="Calibri"/>
                <w:sz w:val="22"/>
              </w:rPr>
              <w:t>Q4 FY2026 (quarter ending June 30, 2026)</w:t>
            </w:r>
          </w:p>
        </w:tc>
        <w:tc>
          <w:tcPr>
            <w:tcW w:type="dxa" w:w="2160"/>
          </w:tcPr>
          <w:p>
            <w:r>
              <w:rPr>
                <w:rFonts w:ascii="Calibri" w:hAnsi="Calibri"/>
                <w:b/>
                <w:sz w:val="22"/>
              </w:rPr>
              <w:t>Earnings Date</w:t>
            </w:r>
          </w:p>
        </w:tc>
        <w:tc>
          <w:tcPr>
            <w:tcW w:type="dxa" w:w="2160"/>
          </w:tcPr>
          <w:p>
            <w:r>
              <w:rPr>
                <w:rFonts w:ascii="Calibri" w:hAnsi="Calibri"/>
                <w:sz w:val="22"/>
              </w:rPr>
              <w:t>August 3, 2026</w:t>
            </w:r>
          </w:p>
        </w:tc>
      </w:tr>
      <w:tr>
        <w:tc>
          <w:tcPr>
            <w:tcW w:type="dxa" w:w="2160"/>
          </w:tcPr>
          <w:p>
            <w:r>
              <w:rPr>
                <w:rFonts w:ascii="Calibri" w:hAnsi="Calibri"/>
                <w:b/>
                <w:sz w:val="22"/>
              </w:rPr>
              <w:t>Last Earnings</w:t>
            </w:r>
          </w:p>
        </w:tc>
        <w:tc>
          <w:tcPr>
            <w:tcW w:type="dxa" w:w="2160"/>
          </w:tcPr>
          <w:p>
            <w:r>
              <w:rPr>
                <w:rFonts w:ascii="Calibri" w:hAnsi="Calibri"/>
                <w:sz w:val="22"/>
              </w:rPr>
              <w:t>Q3 FY2026, reported April 30, 2026</w:t>
            </w:r>
          </w:p>
        </w:tc>
        <w:tc>
          <w:tcPr>
            <w:tcW w:type="dxa" w:w="2160"/>
          </w:tcPr>
          <w:p>
            <w:r>
              <w:rPr>
                <w:rFonts w:ascii="Calibri" w:hAnsi="Calibri"/>
                <w:b/>
                <w:sz w:val="22"/>
              </w:rPr>
              <w:t>Prepared</w:t>
            </w:r>
          </w:p>
        </w:tc>
        <w:tc>
          <w:tcPr>
            <w:tcW w:type="dxa" w:w="2160"/>
          </w:tcPr>
          <w:p>
            <w:r>
              <w:rPr>
                <w:rFonts w:ascii="Calibri" w:hAnsi="Calibri"/>
                <w:sz w:val="22"/>
              </w:rPr>
              <w:t>August 2, 2026</w:t>
            </w:r>
          </w:p>
        </w:tc>
      </w:tr>
      <w:tr>
        <w:tc>
          <w:tcPr>
            <w:tcW w:type="dxa" w:w="2160"/>
          </w:tcPr>
          <w:p>
            <w:r>
              <w:rPr>
                <w:rFonts w:ascii="Calibri" w:hAnsi="Calibri"/>
                <w:b/>
                <w:sz w:val="22"/>
              </w:rPr>
              <w:t>Sector ETF</w:t>
            </w:r>
          </w:p>
        </w:tc>
        <w:tc>
          <w:tcPr>
            <w:tcW w:type="dxa" w:w="2160"/>
          </w:tcPr>
          <w:p>
            <w:r>
              <w:rPr>
                <w:rFonts w:ascii="Calibri" w:hAnsi="Calibri"/>
                <w:sz w:val="22"/>
              </w:rPr>
              <w:t>XLP (Consumer Staples Select Sector SPDR)</w:t>
            </w:r>
          </w:p>
        </w:tc>
        <w:tc>
          <w:tcPr>
            <w:tcW w:type="dxa" w:w="2160"/>
          </w:tcPr>
          <w:p>
            <w:r>
              <w:rPr>
                <w:rFonts w:ascii="Calibri" w:hAnsi="Calibri"/>
                <w:b/>
                <w:sz w:val="22"/>
              </w:rPr>
              <w:t>Valuation KPI</w:t>
            </w:r>
          </w:p>
        </w:tc>
        <w:tc>
          <w:tcPr>
            <w:tcW w:type="dxa" w:w="2160"/>
          </w:tcPr>
          <w:p>
            <w:r>
              <w:rPr>
                <w:rFonts w:ascii="Calibri" w:hAnsi="Calibri"/>
                <w:sz w:val="22"/>
              </w:rPr>
              <w:t>Adj. EPS (Operating)</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CLX's Q4 FY2026 print is </w:t>
      </w:r>
      <w:r>
        <w:rPr>
          <w:rFonts w:ascii="Calibri" w:hAnsi="Calibri"/>
          <w:b/>
          <w:color w:val="525866"/>
          <w:sz w:val="22"/>
        </w:rPr>
        <w:t>cautiously constructive on EPS but clouded by gross margin uncertainty</w:t>
      </w:r>
      <w:r>
        <w:rPr>
          <w:rFonts w:ascii="Calibri" w:hAnsi="Calibri"/>
          <w:color w:val="525866"/>
          <w:sz w:val="22"/>
        </w:rPr>
        <w:t xml:space="preserve"> — the single biggest swing factor is whether Middle East energy cost headwinds (guided at ~$20–25M incremental in Q4) came in at, above, or below that range, as this directly determines whether the company can hold the 41–42% gross margin guided at the Deutsche Bank conference.</w:t>
      </w:r>
    </w:p>
    <w:p>
      <w:r>
        <w:rPr>
          <w:rFonts w:ascii="Calibri" w:hAnsi="Calibri"/>
          <w:color w:val="525866"/>
          <w:sz w:val="22"/>
        </w:rPr>
        <w:t xml:space="preserve">Heading into the Q4 FY2026 print, the consensus bar appears </w:t>
      </w:r>
      <w:r>
        <w:rPr>
          <w:rFonts w:ascii="Calibri" w:hAnsi="Calibri"/>
          <w:b/>
          <w:color w:val="525866"/>
          <w:sz w:val="22"/>
        </w:rPr>
        <w:t>achievable but not easy</w:t>
      </w:r>
      <w:r>
        <w:rPr>
          <w:rFonts w:ascii="Calibri" w:hAnsi="Calibri"/>
          <w:color w:val="525866"/>
          <w:sz w:val="22"/>
        </w:rPr>
        <w:t xml:space="preserve">: Street estimates for adjusted EPS sit at ~$1.69 and net sales at ~$1.90B, both broadly consistent with management's own Q4 framework communicated at the June 3 Deutsche Bank conference (organic sales growth "about flat," gross margin 41–42% reported / ~43% ex-GOJO one-time inventory step-up costs). Management's posture at the conference was </w:t>
      </w:r>
      <w:r>
        <w:rPr>
          <w:rFonts w:ascii="Calibri" w:hAnsi="Calibri"/>
          <w:b/>
          <w:color w:val="525866"/>
          <w:sz w:val="22"/>
        </w:rPr>
        <w:t>measured and transparent</w:t>
      </w:r>
      <w:r>
        <w:rPr>
          <w:rFonts w:ascii="Calibri" w:hAnsi="Calibri"/>
          <w:color w:val="525866"/>
          <w:sz w:val="22"/>
        </w:rPr>
        <w:t xml:space="preserve"> — CFO Luc Bellet explicitly quantified the $20–25M Middle East energy cost headwind and the ~150bps GOJO-related one-time transaction costs, leaving little room for positive surprise on gross margin but also reducing the risk of a further guidance cut. Estimate revisions since the Q3 print have been </w:t>
      </w:r>
      <w:r>
        <w:rPr>
          <w:rFonts w:ascii="Calibri" w:hAnsi="Calibri"/>
          <w:b/>
          <w:color w:val="525866"/>
          <w:sz w:val="22"/>
        </w:rPr>
        <w:t>modestly negative</w:t>
      </w:r>
      <w:r>
        <w:rPr>
          <w:rFonts w:ascii="Calibri" w:hAnsi="Calibri"/>
          <w:color w:val="525866"/>
          <w:sz w:val="22"/>
        </w:rPr>
        <w:t xml:space="preserve"> — the FY2026 adjusted EPS consensus slipped from ~$5.54 (as of May 5) to ~$5.56 currently, a negligible move, suggesting the Street has largely digested the guidance reset. The stock has essentially </w:t>
      </w:r>
      <w:r>
        <w:rPr>
          <w:rFonts w:ascii="Calibri" w:hAnsi="Calibri"/>
          <w:b/>
          <w:color w:val="525866"/>
          <w:sz w:val="22"/>
        </w:rPr>
        <w:t>gone nowhere since the Q3 print</w:t>
      </w:r>
      <w:r>
        <w:rPr>
          <w:rFonts w:ascii="Calibri" w:hAnsi="Calibri"/>
          <w:color w:val="525866"/>
          <w:sz w:val="22"/>
        </w:rPr>
        <w:t xml:space="preserve"> (down ~0.9% vs. XLP +0.9% and SPY +4.0%), meaning it has neither priced in a beat nor a miss — the multiple remains compressed relative to history, reflecting ongoing CEO transition uncertainty and the GOJO integration overhang. The key </w:t>
      </w:r>
      <w:r>
        <w:rPr>
          <w:rFonts w:ascii="Calibri" w:hAnsi="Calibri"/>
          <w:b/>
          <w:color w:val="525866"/>
          <w:sz w:val="22"/>
        </w:rPr>
        <w:t>wildcard</w:t>
      </w:r>
      <w:r>
        <w:rPr>
          <w:rFonts w:ascii="Calibri" w:hAnsi="Calibri"/>
          <w:color w:val="525866"/>
          <w:sz w:val="22"/>
        </w:rPr>
        <w:t xml:space="preserve"> is the magnitude of Middle East energy cost inflation in Q4: if crude oil prices moderated from the ~$90/bbl assumption embedded in guidance, gross margin could surprise to the upside; conversely, any escalation or secondary supply chain effects (ocean freight, trucking surcharges) could push gross margin below the guided range and trigger another guidance cut for FY2027.</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manageable but not low bar</w:t>
      </w:r>
      <w:r>
        <w:rPr>
          <w:rFonts w:ascii="Calibri" w:hAnsi="Calibri"/>
          <w:color w:val="525866"/>
          <w:sz w:val="22"/>
        </w:rPr>
        <w:t xml:space="preserve"> — Street estimates are broadly aligned with management's own Q4 framework. </w:t>
      </w:r>
      <w:r>
        <w:rPr>
          <w:rFonts w:ascii="Calibri" w:hAnsi="Calibri"/>
          <w:b/>
          <w:color w:val="525866"/>
          <w:sz w:val="22"/>
        </w:rPr>
        <w:t>Gross margin is the bigger swing factor</w:t>
      </w:r>
      <w:r>
        <w:rPr>
          <w:rFonts w:ascii="Calibri" w:hAnsi="Calibri"/>
          <w:color w:val="525866"/>
          <w:sz w:val="22"/>
        </w:rPr>
        <w:t>: the guided 41–42% range (or ~43% ex-GOJO one-time costs) embeds a ~150bps Middle East energy headwind that could surprise in either direction; adjusted EPS at ~$1.69 consensus is achievable if gross margin holds.</w:t>
      </w:r>
    </w:p>
    <w:p>
      <w:pPr>
        <w:pStyle w:val="Heading3"/>
      </w:pPr>
      <w:r>
        <w:rPr>
          <w:rFonts w:ascii="Calibri" w:hAnsi="Calibri"/>
          <w:b/>
          <w:color w:val="3B4259"/>
          <w:sz w:val="24"/>
        </w:rPr>
        <w:t>Table 1 — Q4 FY2026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(Q3 FY26)</w:t>
            </w:r>
          </w:p>
        </w:tc>
        <w:tc>
          <w:tcPr>
            <w:tcW w:type="dxa" w:w="1234"/>
            <w:shd w:val="clear" w:color="auto" w:fill="3B4259"/>
          </w:tcPr>
          <w:p>
            <w:r>
              <w:rPr>
                <w:rFonts w:ascii="Calibri" w:hAnsi="Calibri"/>
                <w:b/>
                <w:color w:val="FFFFFF"/>
                <w:sz w:val="22"/>
              </w:rPr>
              <w:t>Prior Year Period (Q4 FY25)</w:t>
            </w:r>
          </w:p>
        </w:tc>
        <w:tc>
          <w:tcPr>
            <w:tcW w:type="dxa" w:w="1234"/>
            <w:shd w:val="clear" w:color="auto" w:fill="3B4259"/>
          </w:tcPr>
          <w:p>
            <w:r>
              <w:rPr>
                <w:rFonts w:ascii="Calibri" w:hAnsi="Calibri"/>
                <w:b/>
                <w:color w:val="FFFFFF"/>
                <w:sz w:val="22"/>
              </w:rPr>
              <w:t>Q4 FY26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(Q4 FY26)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($M)</w:t>
            </w:r>
          </w:p>
        </w:tc>
        <w:tc>
          <w:tcPr>
            <w:tcW w:type="dxa" w:w="1234"/>
          </w:tcPr>
          <w:p>
            <w:r>
              <w:rPr>
                <w:rFonts w:ascii="Calibri" w:hAnsi="Calibri"/>
                <w:sz w:val="22"/>
              </w:rPr>
              <w:t>$1,670M</w:t>
            </w:r>
          </w:p>
        </w:tc>
        <w:tc>
          <w:tcPr>
            <w:tcW w:type="dxa" w:w="1234"/>
          </w:tcPr>
          <w:p>
            <w:r>
              <w:rPr>
                <w:rFonts w:ascii="Calibri" w:hAnsi="Calibri"/>
                <w:sz w:val="22"/>
              </w:rPr>
              <w:t>$1,988M</w:t>
            </w:r>
          </w:p>
        </w:tc>
        <w:tc>
          <w:tcPr>
            <w:tcW w:type="dxa" w:w="1234"/>
          </w:tcPr>
          <w:p>
            <w:r>
              <w:rPr>
                <w:rFonts w:ascii="Calibri" w:hAnsi="Calibri"/>
                <w:sz w:val="22"/>
              </w:rPr>
              <w:t>$1,899M</w:t>
            </w:r>
          </w:p>
        </w:tc>
        <w:tc>
          <w:tcPr>
            <w:tcW w:type="dxa" w:w="1234"/>
          </w:tcPr>
          <w:p>
            <w:r>
              <w:rPr>
                <w:rFonts w:ascii="Calibri" w:hAnsi="Calibri"/>
                <w:sz w:val="22"/>
              </w:rPr>
              <w:t>−4.5% YoY</w:t>
            </w:r>
          </w:p>
        </w:tc>
        <w:tc>
          <w:tcPr>
            <w:tcW w:type="dxa" w:w="1234"/>
          </w:tcPr>
          <w:p>
            <w:r>
              <w:rPr>
                <w:rFonts w:ascii="Calibri" w:hAnsi="Calibri"/>
                <w:sz w:val="22"/>
              </w:rPr>
              <w:t>Organic growth ~flat; GOJO adds ~$600M+ on FY basis (partial Q4 contribution)</w:t>
            </w:r>
          </w:p>
        </w:tc>
        <w:tc>
          <w:tcPr>
            <w:tcW w:type="dxa" w:w="1234"/>
          </w:tcPr>
          <w:p>
            <w:r>
              <w:rPr>
                <w:rFonts w:ascii="Calibri" w:hAnsi="Calibri"/>
                <w:sz w:val="22"/>
              </w:rPr>
              <w:t>In line with framework</w:t>
            </w:r>
          </w:p>
        </w:tc>
      </w:tr>
      <w:tr>
        <w:tc>
          <w:tcPr>
            <w:tcW w:type="dxa" w:w="1234"/>
          </w:tcPr>
          <w:p>
            <w:r>
              <w:rPr>
                <w:rFonts w:ascii="Calibri" w:hAnsi="Calibri"/>
                <w:sz w:val="22"/>
              </w:rPr>
              <w:t>Organic Growth (%)</w:t>
            </w:r>
          </w:p>
        </w:tc>
        <w:tc>
          <w:tcPr>
            <w:tcW w:type="dxa" w:w="1234"/>
          </w:tcPr>
          <w:p>
            <w:r>
              <w:rPr>
                <w:rFonts w:ascii="Calibri" w:hAnsi="Calibri"/>
                <w:sz w:val="22"/>
              </w:rPr>
              <w:t>−1.0%</w:t>
            </w:r>
          </w:p>
        </w:tc>
        <w:tc>
          <w:tcPr>
            <w:tcW w:type="dxa" w:w="1234"/>
          </w:tcPr>
          <w:p>
            <w:r>
              <w:rPr>
                <w:rFonts w:ascii="Calibri" w:hAnsi="Calibri"/>
                <w:sz w:val="22"/>
              </w:rPr>
              <w:t>+8.0%</w:t>
            </w:r>
          </w:p>
        </w:tc>
        <w:tc>
          <w:tcPr>
            <w:tcW w:type="dxa" w:w="1234"/>
          </w:tcPr>
          <w:p>
            <w:r>
              <w:rPr>
                <w:rFonts w:ascii="Calibri" w:hAnsi="Calibri"/>
                <w:sz w:val="22"/>
              </w:rPr>
              <w:t>−13.0%</w:t>
            </w:r>
          </w:p>
        </w:tc>
        <w:tc>
          <w:tcPr>
            <w:tcW w:type="dxa" w:w="1234"/>
          </w:tcPr>
          <w:p>
            <w:r>
              <w:rPr>
                <w:rFonts w:ascii="Calibri" w:hAnsi="Calibri"/>
                <w:sz w:val="22"/>
              </w:rPr>
              <w:t>N/M (ERP lap distortion)</w:t>
            </w:r>
          </w:p>
        </w:tc>
        <w:tc>
          <w:tcPr>
            <w:tcW w:type="dxa" w:w="1234"/>
          </w:tcPr>
          <w:p>
            <w:r>
              <w:rPr>
                <w:rFonts w:ascii="Calibri" w:hAnsi="Calibri"/>
                <w:sz w:val="22"/>
              </w:rPr>
              <w:t>"About flat" ex-ERP lap &amp; GOJO noise</w:t>
            </w:r>
          </w:p>
        </w:tc>
        <w:tc>
          <w:tcPr>
            <w:tcW w:type="dxa" w:w="1234"/>
          </w:tcPr>
          <w:p>
            <w:r>
              <w:rPr>
                <w:rFonts w:ascii="Calibri" w:hAnsi="Calibri"/>
                <w:sz w:val="22"/>
              </w:rPr>
              <w:t>Consensus reflects ERP lap headwind</w:t>
            </w:r>
          </w:p>
        </w:tc>
      </w:tr>
      <w:tr>
        <w:tc>
          <w:tcPr>
            <w:tcW w:type="dxa" w:w="1234"/>
          </w:tcPr>
          <w:p>
            <w:r>
              <w:rPr>
                <w:rFonts w:ascii="Calibri" w:hAnsi="Calibri"/>
                <w:sz w:val="22"/>
              </w:rPr>
              <w:t>Gross Profit ($M)</w:t>
            </w:r>
          </w:p>
        </w:tc>
        <w:tc>
          <w:tcPr>
            <w:tcW w:type="dxa" w:w="1234"/>
          </w:tcPr>
          <w:p>
            <w:r>
              <w:rPr>
                <w:rFonts w:ascii="Calibri" w:hAnsi="Calibri"/>
                <w:sz w:val="22"/>
              </w:rPr>
              <w:t>$722M</w:t>
            </w:r>
          </w:p>
        </w:tc>
        <w:tc>
          <w:tcPr>
            <w:tcW w:type="dxa" w:w="1234"/>
          </w:tcPr>
          <w:p>
            <w:r>
              <w:rPr>
                <w:rFonts w:ascii="Calibri" w:hAnsi="Calibri"/>
                <w:sz w:val="22"/>
              </w:rPr>
              <w:t>$924M</w:t>
            </w:r>
          </w:p>
        </w:tc>
        <w:tc>
          <w:tcPr>
            <w:tcW w:type="dxa" w:w="1234"/>
          </w:tcPr>
          <w:p>
            <w:r>
              <w:rPr>
                <w:rFonts w:ascii="Calibri" w:hAnsi="Calibri"/>
                <w:sz w:val="22"/>
              </w:rPr>
              <w:t>$809M</w:t>
            </w:r>
          </w:p>
        </w:tc>
        <w:tc>
          <w:tcPr>
            <w:tcW w:type="dxa" w:w="1234"/>
          </w:tcPr>
          <w:p>
            <w:r>
              <w:rPr>
                <w:rFonts w:ascii="Calibri" w:hAnsi="Calibri"/>
                <w:sz w:val="22"/>
              </w:rPr>
              <w:t>−12.4% YoY</w:t>
            </w:r>
          </w:p>
        </w:tc>
        <w:tc>
          <w:tcPr>
            <w:tcW w:type="dxa" w:w="1234"/>
          </w:tcPr>
          <w:p>
            <w:r>
              <w:rPr>
                <w:rFonts w:ascii="Calibri" w:hAnsi="Calibri"/>
                <w:sz w:val="22"/>
              </w:rPr>
              <w:t>41–42% gross margin (reported); ~43% ex-GOJO one-time costs</w:t>
            </w:r>
          </w:p>
        </w:tc>
        <w:tc>
          <w:tcPr>
            <w:tcW w:type="dxa" w:w="1234"/>
          </w:tcPr>
          <w:p>
            <w:r>
              <w:rPr>
                <w:rFonts w:ascii="Calibri" w:hAnsi="Calibri"/>
                <w:sz w:val="22"/>
              </w:rPr>
              <w:t>Consensus ~42.6% GM; within guided range</w:t>
            </w:r>
          </w:p>
        </w:tc>
      </w:tr>
      <w:tr>
        <w:tc>
          <w:tcPr>
            <w:tcW w:type="dxa" w:w="1234"/>
          </w:tcPr>
          <w:p>
            <w:r>
              <w:rPr>
                <w:rFonts w:ascii="Calibri" w:hAnsi="Calibri"/>
                <w:sz w:val="22"/>
              </w:rPr>
              <w:t>Adj. EPS — Operating ($)</w:t>
            </w:r>
          </w:p>
        </w:tc>
        <w:tc>
          <w:tcPr>
            <w:tcW w:type="dxa" w:w="1234"/>
          </w:tcPr>
          <w:p>
            <w:r>
              <w:rPr>
                <w:rFonts w:ascii="Calibri" w:hAnsi="Calibri"/>
                <w:sz w:val="22"/>
              </w:rPr>
              <w:t>$1.64</w:t>
            </w:r>
          </w:p>
        </w:tc>
        <w:tc>
          <w:tcPr>
            <w:tcW w:type="dxa" w:w="1234"/>
          </w:tcPr>
          <w:p>
            <w:r>
              <w:rPr>
                <w:rFonts w:ascii="Calibri" w:hAnsi="Calibri"/>
                <w:sz w:val="22"/>
              </w:rPr>
              <w:t>$2.87</w:t>
            </w:r>
          </w:p>
        </w:tc>
        <w:tc>
          <w:tcPr>
            <w:tcW w:type="dxa" w:w="1234"/>
          </w:tcPr>
          <w:p>
            <w:r>
              <w:rPr>
                <w:rFonts w:ascii="Calibri" w:hAnsi="Calibri"/>
                <w:sz w:val="22"/>
              </w:rPr>
              <w:t>$1.69</w:t>
            </w:r>
          </w:p>
        </w:tc>
        <w:tc>
          <w:tcPr>
            <w:tcW w:type="dxa" w:w="1234"/>
          </w:tcPr>
          <w:p>
            <w:r>
              <w:rPr>
                <w:rFonts w:ascii="Calibri" w:hAnsi="Calibri"/>
                <w:sz w:val="22"/>
              </w:rPr>
              <w:t>−41.1% YoY</w:t>
            </w:r>
          </w:p>
        </w:tc>
        <w:tc>
          <w:tcPr>
            <w:tcW w:type="dxa" w:w="1234"/>
          </w:tcPr>
          <w:p>
            <w:r>
              <w:rPr>
                <w:rFonts w:ascii="Calibri" w:hAnsi="Calibri"/>
                <w:sz w:val="22"/>
              </w:rPr>
              <w:t>FY26 guidance midpoint cut by $0.40 at Q3 print; Q4 implied ~$1.66–1.70</w:t>
            </w:r>
          </w:p>
        </w:tc>
        <w:tc>
          <w:tcPr>
            <w:tcW w:type="dxa" w:w="1234"/>
          </w:tcPr>
          <w:p>
            <w:r>
              <w:rPr>
                <w:rFonts w:ascii="Calibri" w:hAnsi="Calibri"/>
                <w:sz w:val="22"/>
              </w:rPr>
              <w:t>+1.8% above implied guidance midpoint</w:t>
            </w:r>
          </w:p>
        </w:tc>
      </w:tr>
      <w:tr>
        <w:tc>
          <w:tcPr>
            <w:tcW w:type="dxa" w:w="1234"/>
          </w:tcPr>
          <w:p>
            <w:r>
              <w:rPr>
                <w:rFonts w:ascii="Calibri" w:hAnsi="Calibri"/>
                <w:sz w:val="22"/>
              </w:rPr>
              <w:t>EBITDA — Operating ($M)</w:t>
            </w:r>
          </w:p>
        </w:tc>
        <w:tc>
          <w:tcPr>
            <w:tcW w:type="dxa" w:w="1234"/>
          </w:tcPr>
          <w:p>
            <w:r>
              <w:rPr>
                <w:rFonts w:ascii="Calibri" w:hAnsi="Calibri"/>
                <w:sz w:val="22"/>
              </w:rPr>
              <w:t>$354M</w:t>
            </w:r>
          </w:p>
        </w:tc>
        <w:tc>
          <w:tcPr>
            <w:tcW w:type="dxa" w:w="1234"/>
          </w:tcPr>
          <w:p>
            <w:r>
              <w:rPr>
                <w:rFonts w:ascii="Calibri" w:hAnsi="Calibri"/>
                <w:sz w:val="22"/>
              </w:rPr>
              <w:t>$512M</w:t>
            </w:r>
          </w:p>
        </w:tc>
        <w:tc>
          <w:tcPr>
            <w:tcW w:type="dxa" w:w="1234"/>
          </w:tcPr>
          <w:p>
            <w:r>
              <w:rPr>
                <w:rFonts w:ascii="Calibri" w:hAnsi="Calibri"/>
                <w:sz w:val="22"/>
              </w:rPr>
              <w:t>$368M</w:t>
            </w:r>
          </w:p>
        </w:tc>
        <w:tc>
          <w:tcPr>
            <w:tcW w:type="dxa" w:w="1234"/>
          </w:tcPr>
          <w:p>
            <w:r>
              <w:rPr>
                <w:rFonts w:ascii="Calibri" w:hAnsi="Calibri"/>
                <w:sz w:val="22"/>
              </w:rPr>
              <w:t>−28.1% YoY</w:t>
            </w:r>
          </w:p>
        </w:tc>
        <w:tc>
          <w:tcPr>
            <w:tcW w:type="dxa" w:w="1234"/>
          </w:tcPr>
          <w:p>
            <w:r>
              <w:rPr>
                <w:rFonts w:ascii="Calibri" w:hAnsi="Calibri"/>
                <w:sz w:val="22"/>
              </w:rPr>
              <w:t>No explicit Q4 EBITDA guidance; implied by EPS and margin framework</w:t>
            </w:r>
          </w:p>
        </w:tc>
        <w:tc>
          <w:tcPr>
            <w:tcW w:type="dxa" w:w="1234"/>
          </w:tcPr>
          <w:p>
            <w:r>
              <w:rPr>
                <w:rFonts w:ascii="Calibri" w:hAnsi="Calibri"/>
                <w:sz w:val="22"/>
              </w:rPr>
              <w:t>In line with framework</w:t>
            </w:r>
          </w:p>
        </w:tc>
      </w:tr>
      <w:tr>
        <w:tc>
          <w:tcPr>
            <w:tcW w:type="dxa" w:w="1234"/>
          </w:tcPr>
          <w:p>
            <w:r>
              <w:rPr>
                <w:rFonts w:ascii="Calibri" w:hAnsi="Calibri"/>
                <w:sz w:val="22"/>
              </w:rPr>
              <w:t>Free Cash Flow ($M)</w:t>
            </w:r>
          </w:p>
        </w:tc>
        <w:tc>
          <w:tcPr>
            <w:tcW w:type="dxa" w:w="1234"/>
          </w:tcPr>
          <w:p>
            <w:r>
              <w:rPr>
                <w:rFonts w:ascii="Calibri" w:hAnsi="Calibri"/>
                <w:sz w:val="22"/>
              </w:rPr>
              <w:t>−$165M</w:t>
            </w:r>
          </w:p>
        </w:tc>
        <w:tc>
          <w:tcPr>
            <w:tcW w:type="dxa" w:w="1234"/>
          </w:tcPr>
          <w:p>
            <w:r>
              <w:rPr>
                <w:rFonts w:ascii="Calibri" w:hAnsi="Calibri"/>
                <w:sz w:val="22"/>
              </w:rPr>
              <w:t>$219M</w:t>
            </w:r>
          </w:p>
        </w:tc>
        <w:tc>
          <w:tcPr>
            <w:tcW w:type="dxa" w:w="1234"/>
          </w:tcPr>
          <w:p>
            <w:r>
              <w:rPr>
                <w:rFonts w:ascii="Calibri" w:hAnsi="Calibri"/>
                <w:sz w:val="22"/>
              </w:rPr>
              <w:t>$500M</w:t>
            </w:r>
          </w:p>
        </w:tc>
        <w:tc>
          <w:tcPr>
            <w:tcW w:type="dxa" w:w="1234"/>
          </w:tcPr>
          <w:p>
            <w:r>
              <w:rPr>
                <w:rFonts w:ascii="Calibri" w:hAnsi="Calibri"/>
                <w:sz w:val="22"/>
              </w:rPr>
              <w:t>+128% YoY</w:t>
            </w:r>
          </w:p>
        </w:tc>
        <w:tc>
          <w:tcPr>
            <w:tcW w:type="dxa" w:w="1234"/>
          </w:tcPr>
          <w:p>
            <w:r>
              <w:rPr>
                <w:rFonts w:ascii="Calibri" w:hAnsi="Calibri"/>
                <w:sz w:val="22"/>
              </w:rPr>
              <w:t>No explicit Q4 FCF guidance; FY26 FCF expected to be strong given GOJO cash flows</w:t>
            </w:r>
          </w:p>
        </w:tc>
        <w:tc>
          <w:tcPr>
            <w:tcW w:type="dxa" w:w="1234"/>
          </w:tcPr>
          <w:p>
            <w:r>
              <w:rPr>
                <w:rFonts w:ascii="Calibri" w:hAnsi="Calibri"/>
                <w:sz w:val="22"/>
              </w:rPr>
              <w:t>N/A — no guidance midpoint</w:t>
            </w:r>
          </w:p>
        </w:tc>
      </w:tr>
    </w:tbl>
    <w:p>
      <w:r>
        <w:rPr>
          <w:rFonts w:ascii="Calibri" w:hAnsi="Calibri"/>
          <w:i/>
          <w:color w:val="525866"/>
          <w:sz w:val="22"/>
        </w:rPr>
        <w:t>Sources: Visible Alpha consensus and actuals data. Organic growth consensus for Q4 FY26 reflects ERP lap distortion (approximately −13% reported vs. ~flat underlying). YoY comparisons are distorted by the ERP pull-forward in Q4 FY25 and the GOJO acquisition (closed April 1, 2026) adding revenue in Q4 FY26.</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KPI 1: Adjusted EPS —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Q4 FY24</w:t>
            </w:r>
          </w:p>
        </w:tc>
        <w:tc>
          <w:tcPr>
            <w:tcW w:type="dxa" w:w="1728"/>
          </w:tcPr>
          <w:p>
            <w:r>
              <w:rPr>
                <w:rFonts w:ascii="Calibri" w:hAnsi="Calibri"/>
                <w:sz w:val="22"/>
              </w:rPr>
              <w:t>$1.82</w:t>
            </w:r>
          </w:p>
        </w:tc>
        <w:tc>
          <w:tcPr>
            <w:tcW w:type="dxa" w:w="1728"/>
          </w:tcPr>
          <w:p>
            <w:r>
              <w:rPr>
                <w:rFonts w:ascii="Calibri" w:hAnsi="Calibri"/>
                <w:sz w:val="22"/>
              </w:rPr>
              <w:t>$1.55</w:t>
            </w:r>
          </w:p>
        </w:tc>
        <w:tc>
          <w:tcPr>
            <w:tcW w:type="dxa" w:w="1728"/>
          </w:tcPr>
          <w:p>
            <w:r>
              <w:rPr>
                <w:rFonts w:ascii="Calibri" w:hAnsi="Calibri"/>
                <w:b/>
                <w:color w:val="30A46C"/>
                <w:sz w:val="22"/>
              </w:rPr>
              <w:t>+17.4%</w:t>
            </w:r>
          </w:p>
        </w:tc>
        <w:tc>
          <w:tcPr>
            <w:tcW w:type="dxa" w:w="1728"/>
          </w:tcPr>
          <w:p>
            <w:r>
              <w:rPr>
                <w:rFonts w:ascii="Calibri" w:hAnsi="Calibri"/>
                <w:b/>
                <w:color w:val="30A46C"/>
                <w:sz w:val="22"/>
              </w:rPr>
              <w:t>Beat</w:t>
            </w:r>
          </w:p>
        </w:tc>
      </w:tr>
      <w:tr>
        <w:tc>
          <w:tcPr>
            <w:tcW w:type="dxa" w:w="1728"/>
          </w:tcPr>
          <w:p>
            <w:r>
              <w:rPr>
                <w:rFonts w:ascii="Calibri" w:hAnsi="Calibri"/>
                <w:sz w:val="22"/>
              </w:rPr>
              <w:t>Q1 FY25</w:t>
            </w:r>
          </w:p>
        </w:tc>
        <w:tc>
          <w:tcPr>
            <w:tcW w:type="dxa" w:w="1728"/>
          </w:tcPr>
          <w:p>
            <w:r>
              <w:rPr>
                <w:rFonts w:ascii="Calibri" w:hAnsi="Calibri"/>
                <w:sz w:val="22"/>
              </w:rPr>
              <w:t>$1.86</w:t>
            </w:r>
          </w:p>
        </w:tc>
        <w:tc>
          <w:tcPr>
            <w:tcW w:type="dxa" w:w="1728"/>
          </w:tcPr>
          <w:p>
            <w:r>
              <w:rPr>
                <w:rFonts w:ascii="Calibri" w:hAnsi="Calibri"/>
                <w:sz w:val="22"/>
              </w:rPr>
              <w:t>$1.37</w:t>
            </w:r>
          </w:p>
        </w:tc>
        <w:tc>
          <w:tcPr>
            <w:tcW w:type="dxa" w:w="1728"/>
          </w:tcPr>
          <w:p>
            <w:r>
              <w:rPr>
                <w:rFonts w:ascii="Calibri" w:hAnsi="Calibri"/>
                <w:b/>
                <w:color w:val="30A46C"/>
                <w:sz w:val="22"/>
              </w:rPr>
              <w:t>+35.8%</w:t>
            </w:r>
          </w:p>
        </w:tc>
        <w:tc>
          <w:tcPr>
            <w:tcW w:type="dxa" w:w="1728"/>
          </w:tcPr>
          <w:p>
            <w:r>
              <w:rPr>
                <w:rFonts w:ascii="Calibri" w:hAnsi="Calibri"/>
                <w:b/>
                <w:color w:val="30A46C"/>
                <w:sz w:val="22"/>
              </w:rPr>
              <w:t>Beat</w:t>
            </w:r>
          </w:p>
        </w:tc>
      </w:tr>
      <w:tr>
        <w:tc>
          <w:tcPr>
            <w:tcW w:type="dxa" w:w="1728"/>
          </w:tcPr>
          <w:p>
            <w:r>
              <w:rPr>
                <w:rFonts w:ascii="Calibri" w:hAnsi="Calibri"/>
                <w:sz w:val="22"/>
              </w:rPr>
              <w:t>Q2 FY25</w:t>
            </w:r>
          </w:p>
        </w:tc>
        <w:tc>
          <w:tcPr>
            <w:tcW w:type="dxa" w:w="1728"/>
          </w:tcPr>
          <w:p>
            <w:r>
              <w:rPr>
                <w:rFonts w:ascii="Calibri" w:hAnsi="Calibri"/>
                <w:sz w:val="22"/>
              </w:rPr>
              <w:t>$1.55</w:t>
            </w:r>
          </w:p>
        </w:tc>
        <w:tc>
          <w:tcPr>
            <w:tcW w:type="dxa" w:w="1728"/>
          </w:tcPr>
          <w:p>
            <w:r>
              <w:rPr>
                <w:rFonts w:ascii="Calibri" w:hAnsi="Calibri"/>
                <w:sz w:val="22"/>
              </w:rPr>
              <w:t>$1.41</w:t>
            </w:r>
          </w:p>
        </w:tc>
        <w:tc>
          <w:tcPr>
            <w:tcW w:type="dxa" w:w="1728"/>
          </w:tcPr>
          <w:p>
            <w:r>
              <w:rPr>
                <w:rFonts w:ascii="Calibri" w:hAnsi="Calibri"/>
                <w:b/>
                <w:color w:val="30A46C"/>
                <w:sz w:val="22"/>
              </w:rPr>
              <w:t>+9.9%</w:t>
            </w:r>
          </w:p>
        </w:tc>
        <w:tc>
          <w:tcPr>
            <w:tcW w:type="dxa" w:w="1728"/>
          </w:tcPr>
          <w:p>
            <w:r>
              <w:rPr>
                <w:rFonts w:ascii="Calibri" w:hAnsi="Calibri"/>
                <w:b/>
                <w:color w:val="30A46C"/>
                <w:sz w:val="22"/>
              </w:rPr>
              <w:t>Beat</w:t>
            </w:r>
          </w:p>
        </w:tc>
      </w:tr>
      <w:tr>
        <w:tc>
          <w:tcPr>
            <w:tcW w:type="dxa" w:w="1728"/>
          </w:tcPr>
          <w:p>
            <w:r>
              <w:rPr>
                <w:rFonts w:ascii="Calibri" w:hAnsi="Calibri"/>
                <w:sz w:val="22"/>
              </w:rPr>
              <w:t>Q3 FY25</w:t>
            </w:r>
          </w:p>
        </w:tc>
        <w:tc>
          <w:tcPr>
            <w:tcW w:type="dxa" w:w="1728"/>
          </w:tcPr>
          <w:p>
            <w:r>
              <w:rPr>
                <w:rFonts w:ascii="Calibri" w:hAnsi="Calibri"/>
                <w:sz w:val="22"/>
              </w:rPr>
              <w:t>$1.45</w:t>
            </w:r>
          </w:p>
        </w:tc>
        <w:tc>
          <w:tcPr>
            <w:tcW w:type="dxa" w:w="1728"/>
          </w:tcPr>
          <w:p>
            <w:r>
              <w:rPr>
                <w:rFonts w:ascii="Calibri" w:hAnsi="Calibri"/>
                <w:sz w:val="22"/>
              </w:rPr>
              <w:t>$1.56</w:t>
            </w:r>
          </w:p>
        </w:tc>
        <w:tc>
          <w:tcPr>
            <w:tcW w:type="dxa" w:w="1728"/>
          </w:tcPr>
          <w:p>
            <w:r>
              <w:rPr>
                <w:rFonts w:ascii="Calibri" w:hAnsi="Calibri"/>
                <w:b/>
                <w:color w:val="E5484D"/>
                <w:sz w:val="22"/>
              </w:rPr>
              <w:t>−7.1%</w:t>
            </w:r>
          </w:p>
        </w:tc>
        <w:tc>
          <w:tcPr>
            <w:tcW w:type="dxa" w:w="1728"/>
          </w:tcPr>
          <w:p>
            <w:r>
              <w:rPr>
                <w:rFonts w:ascii="Calibri" w:hAnsi="Calibri"/>
                <w:b/>
                <w:color w:val="E5484D"/>
                <w:sz w:val="22"/>
              </w:rPr>
              <w:t>Miss</w:t>
            </w:r>
          </w:p>
        </w:tc>
      </w:tr>
      <w:tr>
        <w:tc>
          <w:tcPr>
            <w:tcW w:type="dxa" w:w="1728"/>
          </w:tcPr>
          <w:p>
            <w:r>
              <w:rPr>
                <w:rFonts w:ascii="Calibri" w:hAnsi="Calibri"/>
                <w:sz w:val="22"/>
              </w:rPr>
              <w:t>Q4 FY25</w:t>
            </w:r>
          </w:p>
        </w:tc>
        <w:tc>
          <w:tcPr>
            <w:tcW w:type="dxa" w:w="1728"/>
          </w:tcPr>
          <w:p>
            <w:r>
              <w:rPr>
                <w:rFonts w:ascii="Calibri" w:hAnsi="Calibri"/>
                <w:sz w:val="22"/>
              </w:rPr>
              <w:t>$2.87</w:t>
            </w:r>
          </w:p>
        </w:tc>
        <w:tc>
          <w:tcPr>
            <w:tcW w:type="dxa" w:w="1728"/>
          </w:tcPr>
          <w:p>
            <w:r>
              <w:rPr>
                <w:rFonts w:ascii="Calibri" w:hAnsi="Calibri"/>
                <w:sz w:val="22"/>
              </w:rPr>
              <w:t>$2.19</w:t>
            </w:r>
          </w:p>
        </w:tc>
        <w:tc>
          <w:tcPr>
            <w:tcW w:type="dxa" w:w="1728"/>
          </w:tcPr>
          <w:p>
            <w:r>
              <w:rPr>
                <w:rFonts w:ascii="Calibri" w:hAnsi="Calibri"/>
                <w:b/>
                <w:color w:val="30A46C"/>
                <w:sz w:val="22"/>
              </w:rPr>
              <w:t>+31.1%</w:t>
            </w:r>
          </w:p>
        </w:tc>
        <w:tc>
          <w:tcPr>
            <w:tcW w:type="dxa" w:w="1728"/>
          </w:tcPr>
          <w:p>
            <w:r>
              <w:rPr>
                <w:rFonts w:ascii="Calibri" w:hAnsi="Calibri"/>
                <w:b/>
                <w:color w:val="30A46C"/>
                <w:sz w:val="22"/>
              </w:rPr>
              <w:t>Beat</w:t>
            </w:r>
          </w:p>
        </w:tc>
      </w:tr>
      <w:tr>
        <w:tc>
          <w:tcPr>
            <w:tcW w:type="dxa" w:w="1728"/>
          </w:tcPr>
          <w:p>
            <w:r>
              <w:rPr>
                <w:rFonts w:ascii="Calibri" w:hAnsi="Calibri"/>
                <w:sz w:val="22"/>
              </w:rPr>
              <w:t>Q1 FY26</w:t>
            </w:r>
          </w:p>
        </w:tc>
        <w:tc>
          <w:tcPr>
            <w:tcW w:type="dxa" w:w="1728"/>
          </w:tcPr>
          <w:p>
            <w:r>
              <w:rPr>
                <w:rFonts w:ascii="Calibri" w:hAnsi="Calibri"/>
                <w:sz w:val="22"/>
              </w:rPr>
              <w:t>$0.85</w:t>
            </w:r>
          </w:p>
        </w:tc>
        <w:tc>
          <w:tcPr>
            <w:tcW w:type="dxa" w:w="1728"/>
          </w:tcPr>
          <w:p>
            <w:r>
              <w:rPr>
                <w:rFonts w:ascii="Calibri" w:hAnsi="Calibri"/>
                <w:sz w:val="22"/>
              </w:rPr>
              <w:t>$0.82</w:t>
            </w:r>
          </w:p>
        </w:tc>
        <w:tc>
          <w:tcPr>
            <w:tcW w:type="dxa" w:w="1728"/>
          </w:tcPr>
          <w:p>
            <w:r>
              <w:rPr>
                <w:rFonts w:ascii="Calibri" w:hAnsi="Calibri"/>
                <w:b/>
                <w:color w:val="30A46C"/>
                <w:sz w:val="22"/>
              </w:rPr>
              <w:t>+3.7%</w:t>
            </w:r>
          </w:p>
        </w:tc>
        <w:tc>
          <w:tcPr>
            <w:tcW w:type="dxa" w:w="1728"/>
          </w:tcPr>
          <w:p>
            <w:r>
              <w:rPr>
                <w:rFonts w:ascii="Calibri" w:hAnsi="Calibri"/>
                <w:b/>
                <w:color w:val="30A46C"/>
                <w:sz w:val="22"/>
              </w:rPr>
              <w:t>Beat</w:t>
            </w:r>
          </w:p>
        </w:tc>
      </w:tr>
      <w:tr>
        <w:tc>
          <w:tcPr>
            <w:tcW w:type="dxa" w:w="1728"/>
          </w:tcPr>
          <w:p>
            <w:r>
              <w:rPr>
                <w:rFonts w:ascii="Calibri" w:hAnsi="Calibri"/>
                <w:sz w:val="22"/>
              </w:rPr>
              <w:t>Q2 FY26</w:t>
            </w:r>
          </w:p>
        </w:tc>
        <w:tc>
          <w:tcPr>
            <w:tcW w:type="dxa" w:w="1728"/>
          </w:tcPr>
          <w:p>
            <w:r>
              <w:rPr>
                <w:rFonts w:ascii="Calibri" w:hAnsi="Calibri"/>
                <w:sz w:val="22"/>
              </w:rPr>
              <w:t>$1.39</w:t>
            </w:r>
          </w:p>
        </w:tc>
        <w:tc>
          <w:tcPr>
            <w:tcW w:type="dxa" w:w="1728"/>
          </w:tcPr>
          <w:p>
            <w:r>
              <w:rPr>
                <w:rFonts w:ascii="Calibri" w:hAnsi="Calibri"/>
                <w:sz w:val="22"/>
              </w:rPr>
              <w:t>$1.43</w:t>
            </w:r>
          </w:p>
        </w:tc>
        <w:tc>
          <w:tcPr>
            <w:tcW w:type="dxa" w:w="1728"/>
          </w:tcPr>
          <w:p>
            <w:r>
              <w:rPr>
                <w:rFonts w:ascii="Calibri" w:hAnsi="Calibri"/>
                <w:b/>
                <w:color w:val="E5484D"/>
                <w:sz w:val="22"/>
              </w:rPr>
              <w:t>−2.8%</w:t>
            </w:r>
          </w:p>
        </w:tc>
        <w:tc>
          <w:tcPr>
            <w:tcW w:type="dxa" w:w="1728"/>
          </w:tcPr>
          <w:p>
            <w:r>
              <w:rPr>
                <w:rFonts w:ascii="Calibri" w:hAnsi="Calibri"/>
                <w:b/>
                <w:color w:val="E5484D"/>
                <w:sz w:val="22"/>
              </w:rPr>
              <w:t>Miss</w:t>
            </w:r>
          </w:p>
        </w:tc>
      </w:tr>
      <w:tr>
        <w:tc>
          <w:tcPr>
            <w:tcW w:type="dxa" w:w="1728"/>
          </w:tcPr>
          <w:p>
            <w:r>
              <w:rPr>
                <w:rFonts w:ascii="Calibri" w:hAnsi="Calibri"/>
                <w:sz w:val="22"/>
              </w:rPr>
              <w:t>Q3 FY26</w:t>
            </w:r>
          </w:p>
        </w:tc>
        <w:tc>
          <w:tcPr>
            <w:tcW w:type="dxa" w:w="1728"/>
          </w:tcPr>
          <w:p>
            <w:r>
              <w:rPr>
                <w:rFonts w:ascii="Calibri" w:hAnsi="Calibri"/>
                <w:sz w:val="22"/>
              </w:rPr>
              <w:t>$1.64</w:t>
            </w:r>
          </w:p>
        </w:tc>
        <w:tc>
          <w:tcPr>
            <w:tcW w:type="dxa" w:w="1728"/>
          </w:tcPr>
          <w:p>
            <w:r>
              <w:rPr>
                <w:rFonts w:ascii="Calibri" w:hAnsi="Calibri"/>
                <w:sz w:val="22"/>
              </w:rPr>
              <w:t>$1.55</w:t>
            </w:r>
          </w:p>
        </w:tc>
        <w:tc>
          <w:tcPr>
            <w:tcW w:type="dxa" w:w="1728"/>
          </w:tcPr>
          <w:p>
            <w:r>
              <w:rPr>
                <w:rFonts w:ascii="Calibri" w:hAnsi="Calibri"/>
                <w:b/>
                <w:color w:val="30A46C"/>
                <w:sz w:val="22"/>
              </w:rPr>
              <w:t>+5.8%</w:t>
            </w:r>
          </w:p>
        </w:tc>
        <w:tc>
          <w:tcPr>
            <w:tcW w:type="dxa" w:w="1728"/>
          </w:tcPr>
          <w:p>
            <w:r>
              <w:rPr>
                <w:rFonts w:ascii="Calibri" w:hAnsi="Calibri"/>
                <w:b/>
                <w:color w:val="30A46C"/>
                <w:sz w:val="22"/>
              </w:rPr>
              <w:t>Beat</w:t>
            </w:r>
          </w:p>
        </w:tc>
      </w:tr>
    </w:tbl>
    <w:p>
      <w:pPr>
        <w:pStyle w:val="Heading4"/>
      </w:pPr>
      <w:r>
        <w:rPr>
          <w:rFonts w:ascii="Calibri" w:hAnsi="Calibri"/>
          <w:b/>
          <w:color w:val="3B4259"/>
          <w:sz w:val="22"/>
        </w:rPr>
        <w:t>KPI 2: Net Sales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Q4 FY24</w:t>
            </w:r>
          </w:p>
        </w:tc>
        <w:tc>
          <w:tcPr>
            <w:tcW w:type="dxa" w:w="1728"/>
          </w:tcPr>
          <w:p>
            <w:r>
              <w:rPr>
                <w:rFonts w:ascii="Calibri" w:hAnsi="Calibri"/>
                <w:sz w:val="22"/>
              </w:rPr>
              <w:t>$1,903M</w:t>
            </w:r>
          </w:p>
        </w:tc>
        <w:tc>
          <w:tcPr>
            <w:tcW w:type="dxa" w:w="1728"/>
          </w:tcPr>
          <w:p>
            <w:r>
              <w:rPr>
                <w:rFonts w:ascii="Calibri" w:hAnsi="Calibri"/>
                <w:sz w:val="22"/>
              </w:rPr>
              <w:t>$1,960M</w:t>
            </w:r>
          </w:p>
        </w:tc>
        <w:tc>
          <w:tcPr>
            <w:tcW w:type="dxa" w:w="1728"/>
          </w:tcPr>
          <w:p>
            <w:r>
              <w:rPr>
                <w:rFonts w:ascii="Calibri" w:hAnsi="Calibri"/>
                <w:b/>
                <w:color w:val="E5484D"/>
                <w:sz w:val="22"/>
              </w:rPr>
              <w:t>−2.9%</w:t>
            </w:r>
          </w:p>
        </w:tc>
        <w:tc>
          <w:tcPr>
            <w:tcW w:type="dxa" w:w="1728"/>
          </w:tcPr>
          <w:p>
            <w:r>
              <w:rPr>
                <w:rFonts w:ascii="Calibri" w:hAnsi="Calibri"/>
                <w:b/>
                <w:color w:val="E5484D"/>
                <w:sz w:val="22"/>
              </w:rPr>
              <w:t>Miss</w:t>
            </w:r>
          </w:p>
        </w:tc>
      </w:tr>
      <w:tr>
        <w:tc>
          <w:tcPr>
            <w:tcW w:type="dxa" w:w="1728"/>
          </w:tcPr>
          <w:p>
            <w:r>
              <w:rPr>
                <w:rFonts w:ascii="Calibri" w:hAnsi="Calibri"/>
                <w:sz w:val="22"/>
              </w:rPr>
              <w:t>Q1 FY25</w:t>
            </w:r>
          </w:p>
        </w:tc>
        <w:tc>
          <w:tcPr>
            <w:tcW w:type="dxa" w:w="1728"/>
          </w:tcPr>
          <w:p>
            <w:r>
              <w:rPr>
                <w:rFonts w:ascii="Calibri" w:hAnsi="Calibri"/>
                <w:sz w:val="22"/>
              </w:rPr>
              <w:t>$1,762M</w:t>
            </w:r>
          </w:p>
        </w:tc>
        <w:tc>
          <w:tcPr>
            <w:tcW w:type="dxa" w:w="1728"/>
          </w:tcPr>
          <w:p>
            <w:r>
              <w:rPr>
                <w:rFonts w:ascii="Calibri" w:hAnsi="Calibri"/>
                <w:sz w:val="22"/>
              </w:rPr>
              <w:t>$1,639M</w:t>
            </w:r>
          </w:p>
        </w:tc>
        <w:tc>
          <w:tcPr>
            <w:tcW w:type="dxa" w:w="1728"/>
          </w:tcPr>
          <w:p>
            <w:r>
              <w:rPr>
                <w:rFonts w:ascii="Calibri" w:hAnsi="Calibri"/>
                <w:b/>
                <w:color w:val="30A46C"/>
                <w:sz w:val="22"/>
              </w:rPr>
              <w:t>+7.5%</w:t>
            </w:r>
          </w:p>
        </w:tc>
        <w:tc>
          <w:tcPr>
            <w:tcW w:type="dxa" w:w="1728"/>
          </w:tcPr>
          <w:p>
            <w:r>
              <w:rPr>
                <w:rFonts w:ascii="Calibri" w:hAnsi="Calibri"/>
                <w:b/>
                <w:color w:val="30A46C"/>
                <w:sz w:val="22"/>
              </w:rPr>
              <w:t>Beat</w:t>
            </w:r>
          </w:p>
        </w:tc>
      </w:tr>
      <w:tr>
        <w:tc>
          <w:tcPr>
            <w:tcW w:type="dxa" w:w="1728"/>
          </w:tcPr>
          <w:p>
            <w:r>
              <w:rPr>
                <w:rFonts w:ascii="Calibri" w:hAnsi="Calibri"/>
                <w:sz w:val="22"/>
              </w:rPr>
              <w:t>Q2 FY25</w:t>
            </w:r>
          </w:p>
        </w:tc>
        <w:tc>
          <w:tcPr>
            <w:tcW w:type="dxa" w:w="1728"/>
          </w:tcPr>
          <w:p>
            <w:r>
              <w:rPr>
                <w:rFonts w:ascii="Calibri" w:hAnsi="Calibri"/>
                <w:sz w:val="22"/>
              </w:rPr>
              <w:t>$1,686M</w:t>
            </w:r>
          </w:p>
        </w:tc>
        <w:tc>
          <w:tcPr>
            <w:tcW w:type="dxa" w:w="1728"/>
          </w:tcPr>
          <w:p>
            <w:r>
              <w:rPr>
                <w:rFonts w:ascii="Calibri" w:hAnsi="Calibri"/>
                <w:sz w:val="22"/>
              </w:rPr>
              <w:t>$1,640M</w:t>
            </w:r>
          </w:p>
        </w:tc>
        <w:tc>
          <w:tcPr>
            <w:tcW w:type="dxa" w:w="1728"/>
          </w:tcPr>
          <w:p>
            <w:r>
              <w:rPr>
                <w:rFonts w:ascii="Calibri" w:hAnsi="Calibri"/>
                <w:b/>
                <w:color w:val="30A46C"/>
                <w:sz w:val="22"/>
              </w:rPr>
              <w:t>+2.8%</w:t>
            </w:r>
          </w:p>
        </w:tc>
        <w:tc>
          <w:tcPr>
            <w:tcW w:type="dxa" w:w="1728"/>
          </w:tcPr>
          <w:p>
            <w:r>
              <w:rPr>
                <w:rFonts w:ascii="Calibri" w:hAnsi="Calibri"/>
                <w:b/>
                <w:color w:val="30A46C"/>
                <w:sz w:val="22"/>
              </w:rPr>
              <w:t>Beat</w:t>
            </w:r>
          </w:p>
        </w:tc>
      </w:tr>
      <w:tr>
        <w:tc>
          <w:tcPr>
            <w:tcW w:type="dxa" w:w="1728"/>
          </w:tcPr>
          <w:p>
            <w:r>
              <w:rPr>
                <w:rFonts w:ascii="Calibri" w:hAnsi="Calibri"/>
                <w:sz w:val="22"/>
              </w:rPr>
              <w:t>Q3 FY25</w:t>
            </w:r>
          </w:p>
        </w:tc>
        <w:tc>
          <w:tcPr>
            <w:tcW w:type="dxa" w:w="1728"/>
          </w:tcPr>
          <w:p>
            <w:r>
              <w:rPr>
                <w:rFonts w:ascii="Calibri" w:hAnsi="Calibri"/>
                <w:sz w:val="22"/>
              </w:rPr>
              <w:t>$1,668M</w:t>
            </w:r>
          </w:p>
        </w:tc>
        <w:tc>
          <w:tcPr>
            <w:tcW w:type="dxa" w:w="1728"/>
          </w:tcPr>
          <w:p>
            <w:r>
              <w:rPr>
                <w:rFonts w:ascii="Calibri" w:hAnsi="Calibri"/>
                <w:sz w:val="22"/>
              </w:rPr>
              <w:t>$1,724M</w:t>
            </w:r>
          </w:p>
        </w:tc>
        <w:tc>
          <w:tcPr>
            <w:tcW w:type="dxa" w:w="1728"/>
          </w:tcPr>
          <w:p>
            <w:r>
              <w:rPr>
                <w:rFonts w:ascii="Calibri" w:hAnsi="Calibri"/>
                <w:b/>
                <w:color w:val="E5484D"/>
                <w:sz w:val="22"/>
              </w:rPr>
              <w:t>−3.2%</w:t>
            </w:r>
          </w:p>
        </w:tc>
        <w:tc>
          <w:tcPr>
            <w:tcW w:type="dxa" w:w="1728"/>
          </w:tcPr>
          <w:p>
            <w:r>
              <w:rPr>
                <w:rFonts w:ascii="Calibri" w:hAnsi="Calibri"/>
                <w:b/>
                <w:color w:val="E5484D"/>
                <w:sz w:val="22"/>
              </w:rPr>
              <w:t>Miss</w:t>
            </w:r>
          </w:p>
        </w:tc>
      </w:tr>
      <w:tr>
        <w:tc>
          <w:tcPr>
            <w:tcW w:type="dxa" w:w="1728"/>
          </w:tcPr>
          <w:p>
            <w:r>
              <w:rPr>
                <w:rFonts w:ascii="Calibri" w:hAnsi="Calibri"/>
                <w:sz w:val="22"/>
              </w:rPr>
              <w:t>Q4 FY25</w:t>
            </w:r>
          </w:p>
        </w:tc>
        <w:tc>
          <w:tcPr>
            <w:tcW w:type="dxa" w:w="1728"/>
          </w:tcPr>
          <w:p>
            <w:r>
              <w:rPr>
                <w:rFonts w:ascii="Calibri" w:hAnsi="Calibri"/>
                <w:sz w:val="22"/>
              </w:rPr>
              <w:t>$1,988M</w:t>
            </w:r>
          </w:p>
        </w:tc>
        <w:tc>
          <w:tcPr>
            <w:tcW w:type="dxa" w:w="1728"/>
          </w:tcPr>
          <w:p>
            <w:r>
              <w:rPr>
                <w:rFonts w:ascii="Calibri" w:hAnsi="Calibri"/>
                <w:sz w:val="22"/>
              </w:rPr>
              <w:t>$1,925M</w:t>
            </w:r>
          </w:p>
        </w:tc>
        <w:tc>
          <w:tcPr>
            <w:tcW w:type="dxa" w:w="1728"/>
          </w:tcPr>
          <w:p>
            <w:r>
              <w:rPr>
                <w:rFonts w:ascii="Calibri" w:hAnsi="Calibri"/>
                <w:b/>
                <w:color w:val="30A46C"/>
                <w:sz w:val="22"/>
              </w:rPr>
              <w:t>+3.3%</w:t>
            </w:r>
          </w:p>
        </w:tc>
        <w:tc>
          <w:tcPr>
            <w:tcW w:type="dxa" w:w="1728"/>
          </w:tcPr>
          <w:p>
            <w:r>
              <w:rPr>
                <w:rFonts w:ascii="Calibri" w:hAnsi="Calibri"/>
                <w:b/>
                <w:color w:val="30A46C"/>
                <w:sz w:val="22"/>
              </w:rPr>
              <w:t>Beat</w:t>
            </w:r>
          </w:p>
        </w:tc>
      </w:tr>
      <w:tr>
        <w:tc>
          <w:tcPr>
            <w:tcW w:type="dxa" w:w="1728"/>
          </w:tcPr>
          <w:p>
            <w:r>
              <w:rPr>
                <w:rFonts w:ascii="Calibri" w:hAnsi="Calibri"/>
                <w:sz w:val="22"/>
              </w:rPr>
              <w:t>Q1 FY26</w:t>
            </w:r>
          </w:p>
        </w:tc>
        <w:tc>
          <w:tcPr>
            <w:tcW w:type="dxa" w:w="1728"/>
          </w:tcPr>
          <w:p>
            <w:r>
              <w:rPr>
                <w:rFonts w:ascii="Calibri" w:hAnsi="Calibri"/>
                <w:sz w:val="22"/>
              </w:rPr>
              <w:t>$1,429M</w:t>
            </w:r>
          </w:p>
        </w:tc>
        <w:tc>
          <w:tcPr>
            <w:tcW w:type="dxa" w:w="1728"/>
          </w:tcPr>
          <w:p>
            <w:r>
              <w:rPr>
                <w:rFonts w:ascii="Calibri" w:hAnsi="Calibri"/>
                <w:sz w:val="22"/>
              </w:rPr>
              <w:t>$1,401M</w:t>
            </w:r>
          </w:p>
        </w:tc>
        <w:tc>
          <w:tcPr>
            <w:tcW w:type="dxa" w:w="1728"/>
          </w:tcPr>
          <w:p>
            <w:r>
              <w:rPr>
                <w:rFonts w:ascii="Calibri" w:hAnsi="Calibri"/>
                <w:b/>
                <w:color w:val="30A46C"/>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Q2 FY26</w:t>
            </w:r>
          </w:p>
        </w:tc>
        <w:tc>
          <w:tcPr>
            <w:tcW w:type="dxa" w:w="1728"/>
          </w:tcPr>
          <w:p>
            <w:r>
              <w:rPr>
                <w:rFonts w:ascii="Calibri" w:hAnsi="Calibri"/>
                <w:sz w:val="22"/>
              </w:rPr>
              <w:t>$1,673M</w:t>
            </w:r>
          </w:p>
        </w:tc>
        <w:tc>
          <w:tcPr>
            <w:tcW w:type="dxa" w:w="1728"/>
          </w:tcPr>
          <w:p>
            <w:r>
              <w:rPr>
                <w:rFonts w:ascii="Calibri" w:hAnsi="Calibri"/>
                <w:sz w:val="22"/>
              </w:rPr>
              <w:t>$1,642M</w:t>
            </w:r>
          </w:p>
        </w:tc>
        <w:tc>
          <w:tcPr>
            <w:tcW w:type="dxa" w:w="1728"/>
          </w:tcPr>
          <w:p>
            <w:r>
              <w:rPr>
                <w:rFonts w:ascii="Calibri" w:hAnsi="Calibri"/>
                <w:b/>
                <w:color w:val="30A46C"/>
                <w:sz w:val="22"/>
              </w:rPr>
              <w:t>+1.9%</w:t>
            </w:r>
          </w:p>
        </w:tc>
        <w:tc>
          <w:tcPr>
            <w:tcW w:type="dxa" w:w="1728"/>
          </w:tcPr>
          <w:p>
            <w:r>
              <w:rPr>
                <w:rFonts w:ascii="Calibri" w:hAnsi="Calibri"/>
                <w:b/>
                <w:color w:val="30A46C"/>
                <w:sz w:val="22"/>
              </w:rPr>
              <w:t>Beat</w:t>
            </w:r>
          </w:p>
        </w:tc>
      </w:tr>
      <w:tr>
        <w:tc>
          <w:tcPr>
            <w:tcW w:type="dxa" w:w="1728"/>
          </w:tcPr>
          <w:p>
            <w:r>
              <w:rPr>
                <w:rFonts w:ascii="Calibri" w:hAnsi="Calibri"/>
                <w:sz w:val="22"/>
              </w:rPr>
              <w:t>Q3 FY26</w:t>
            </w:r>
          </w:p>
        </w:tc>
        <w:tc>
          <w:tcPr>
            <w:tcW w:type="dxa" w:w="1728"/>
          </w:tcPr>
          <w:p>
            <w:r>
              <w:rPr>
                <w:rFonts w:ascii="Calibri" w:hAnsi="Calibri"/>
                <w:sz w:val="22"/>
              </w:rPr>
              <w:t>$1,670M</w:t>
            </w:r>
          </w:p>
        </w:tc>
        <w:tc>
          <w:tcPr>
            <w:tcW w:type="dxa" w:w="1728"/>
          </w:tcPr>
          <w:p>
            <w:r>
              <w:rPr>
                <w:rFonts w:ascii="Calibri" w:hAnsi="Calibri"/>
                <w:sz w:val="22"/>
              </w:rPr>
              <w:t>$1,668M</w:t>
            </w:r>
          </w:p>
        </w:tc>
        <w:tc>
          <w:tcPr>
            <w:tcW w:type="dxa" w:w="1728"/>
          </w:tcPr>
          <w:p>
            <w:r>
              <w:rPr>
                <w:rFonts w:ascii="Calibri" w:hAnsi="Calibri"/>
                <w:b/>
                <w:color w:val="30A46C"/>
                <w:sz w:val="22"/>
              </w:rPr>
              <w:t>+0.1%</w:t>
            </w:r>
          </w:p>
        </w:tc>
        <w:tc>
          <w:tcPr>
            <w:tcW w:type="dxa" w:w="1728"/>
          </w:tcPr>
          <w:p>
            <w:r>
              <w:rPr>
                <w:rFonts w:ascii="Calibri" w:hAnsi="Calibri"/>
                <w:b/>
                <w:color w:val="30A46C"/>
                <w:sz w:val="22"/>
              </w:rPr>
              <w:t>In Line</w:t>
            </w:r>
          </w:p>
        </w:tc>
      </w:tr>
    </w:tbl>
    <w:p>
      <w:r>
        <w:rPr>
          <w:rFonts w:ascii="Calibri" w:hAnsi="Calibri"/>
          <w:b/>
          <w:color w:val="525866"/>
          <w:sz w:val="22"/>
        </w:rPr>
        <w:t xml:space="preserve">Pattern: </w:t>
      </w:r>
      <w:r>
        <w:rPr>
          <w:rFonts w:ascii="Calibri" w:hAnsi="Calibri"/>
          <w:color w:val="525866"/>
          <w:sz w:val="22"/>
        </w:rPr>
        <w:t>CLX has beaten adjusted EPS consensus in 6 of the last 8 quarters, with the two misses (Q3 FY25 and Q2 FY26) driven by ERP-related cost overruns and supply chain disruptions. On revenue, the company has beaten or matched in 6 of 8 quarters, though the beats have narrowed significantly as the ERP lap creates mechanical distortions. The consistent EPS beat pattern reflects management's tendency to set a conservative bar, but the Q4 FY26 print is more binary than usual given the gross margin uncertainty from Middle East energy costs.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w:t>
      </w:r>
      <w:r>
        <w:rPr>
          <w:rFonts w:ascii="Calibri" w:hAnsi="Calibri"/>
          <w:b/>
          <w:color w:val="525866"/>
          <w:sz w:val="22"/>
        </w:rPr>
        <w:t>materially revised lower since the Q3 FY26 print</w:t>
      </w:r>
      <w:r>
        <w:rPr>
          <w:rFonts w:ascii="Calibri" w:hAnsi="Calibri"/>
          <w:color w:val="525866"/>
          <w:sz w:val="22"/>
        </w:rPr>
        <w:t xml:space="preserve"> — the FY2026 adjusted EPS midpoint was cut by $0.40 at the Q3 earnings call (April 30), driven by three factors: GOJO acquisition dilution, Middle East energy cost inflation, and ERP stabilization cost overruns. At the June 3 Deutsche Bank conference, management provided additional Q4 color (organic growth ~flat, gross margin 41–42%) but did not formally revise guidance further; tone was </w:t>
      </w:r>
      <w:r>
        <w:rPr>
          <w:rFonts w:ascii="Calibri" w:hAnsi="Calibri"/>
          <w:b/>
          <w:color w:val="525866"/>
          <w:sz w:val="22"/>
        </w:rPr>
        <w:t>measured and transparent</w:t>
      </w:r>
      <w:r>
        <w:rPr>
          <w:rFonts w:ascii="Calibri" w:hAnsi="Calibri"/>
          <w:color w:val="525866"/>
          <w:sz w:val="22"/>
        </w:rPr>
        <w:t xml:space="preserve"> rather than incrementally cautious.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(Q3 FY26 Earnings Call, Apr 30,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FY26 Adj. EPS (Operating)</w:t>
            </w:r>
          </w:p>
        </w:tc>
        <w:tc>
          <w:tcPr>
            <w:tcW w:type="dxa" w:w="1728"/>
          </w:tcPr>
          <w:p>
            <w:r>
              <w:rPr>
                <w:rFonts w:ascii="Calibri" w:hAnsi="Calibri"/>
                <w:sz w:val="22"/>
              </w:rPr>
              <w:t>Midpoint cut by $0.40 at Q3 print; new range implied ~$5.40–5.60</w:t>
            </w:r>
          </w:p>
        </w:tc>
        <w:tc>
          <w:tcPr>
            <w:tcW w:type="dxa" w:w="1728"/>
          </w:tcPr>
          <w:p>
            <w:r>
              <w:rPr>
                <w:rFonts w:ascii="Calibri" w:hAnsi="Calibri"/>
                <w:sz w:val="22"/>
              </w:rPr>
              <w:t>—</w:t>
            </w:r>
          </w:p>
        </w:tc>
        <w:tc>
          <w:tcPr>
            <w:tcW w:type="dxa" w:w="1728"/>
          </w:tcPr>
          <w:p>
            <w:r>
              <w:rPr>
                <w:rFonts w:ascii="Calibri" w:hAnsi="Calibri"/>
                <w:sz w:val="22"/>
              </w:rPr>
              <w:t>$5.56</w:t>
            </w:r>
          </w:p>
        </w:tc>
        <w:tc>
          <w:tcPr>
            <w:tcW w:type="dxa" w:w="1728"/>
          </w:tcPr>
          <w:p>
            <w:r>
              <w:rPr>
                <w:rFonts w:ascii="Calibri" w:hAnsi="Calibri"/>
                <w:sz w:val="22"/>
              </w:rPr>
              <w:t>No post-earnings formal revision; DB conference (Jun 3) confirmed Q4 framework consistent with guidance</w:t>
            </w:r>
          </w:p>
        </w:tc>
      </w:tr>
      <w:tr>
        <w:tc>
          <w:tcPr>
            <w:tcW w:type="dxa" w:w="1728"/>
          </w:tcPr>
          <w:p>
            <w:r>
              <w:rPr>
                <w:rFonts w:ascii="Calibri" w:hAnsi="Calibri"/>
                <w:sz w:val="22"/>
              </w:rPr>
              <w:t>Q4 FY26 Organic Sales Growth</w:t>
            </w:r>
          </w:p>
        </w:tc>
        <w:tc>
          <w:tcPr>
            <w:tcW w:type="dxa" w:w="1728"/>
          </w:tcPr>
          <w:p>
            <w:r>
              <w:rPr>
                <w:rFonts w:ascii="Calibri" w:hAnsi="Calibri"/>
                <w:sz w:val="22"/>
              </w:rPr>
              <w:t>"About flat" (ex-ERP lap and GOJO noise)</w:t>
            </w:r>
          </w:p>
        </w:tc>
        <w:tc>
          <w:tcPr>
            <w:tcW w:type="dxa" w:w="1728"/>
          </w:tcPr>
          <w:p>
            <w:r>
              <w:rPr>
                <w:rFonts w:ascii="Calibri" w:hAnsi="Calibri"/>
                <w:sz w:val="22"/>
              </w:rPr>
              <w:t>—</w:t>
            </w:r>
          </w:p>
        </w:tc>
        <w:tc>
          <w:tcPr>
            <w:tcW w:type="dxa" w:w="1728"/>
          </w:tcPr>
          <w:p>
            <w:r>
              <w:rPr>
                <w:rFonts w:ascii="Calibri" w:hAnsi="Calibri"/>
                <w:sz w:val="22"/>
              </w:rPr>
              <w:t>−13.0% reported (ERP lap distortion)</w:t>
            </w:r>
          </w:p>
        </w:tc>
        <w:tc>
          <w:tcPr>
            <w:tcW w:type="dxa" w:w="1728"/>
          </w:tcPr>
          <w:p>
            <w:r>
              <w:rPr>
                <w:rFonts w:ascii="Calibri" w:hAnsi="Calibri"/>
                <w:sz w:val="22"/>
              </w:rPr>
              <w:t>Confirmed at DB conference Jun 3; ERP lap creates ~−13.5% mechanical headwind to reported organic growth</w:t>
            </w:r>
          </w:p>
        </w:tc>
      </w:tr>
      <w:tr>
        <w:tc>
          <w:tcPr>
            <w:tcW w:type="dxa" w:w="1728"/>
          </w:tcPr>
          <w:p>
            <w:r>
              <w:rPr>
                <w:rFonts w:ascii="Calibri" w:hAnsi="Calibri"/>
                <w:sz w:val="22"/>
              </w:rPr>
              <w:t>Q4 FY26 Gross Margin (Reported)</w:t>
            </w:r>
          </w:p>
        </w:tc>
        <w:tc>
          <w:tcPr>
            <w:tcW w:type="dxa" w:w="1728"/>
          </w:tcPr>
          <w:p>
            <w:r>
              <w:rPr>
                <w:rFonts w:ascii="Calibri" w:hAnsi="Calibri"/>
                <w:sz w:val="22"/>
              </w:rPr>
              <w:t>41–42% (includes ~150bps GOJO one-time inventory step-up costs)</w:t>
            </w:r>
          </w:p>
        </w:tc>
        <w:tc>
          <w:tcPr>
            <w:tcW w:type="dxa" w:w="1728"/>
          </w:tcPr>
          <w:p>
            <w:r>
              <w:rPr>
                <w:rFonts w:ascii="Calibri" w:hAnsi="Calibri"/>
                <w:sz w:val="22"/>
              </w:rPr>
              <w:t>—</w:t>
            </w:r>
          </w:p>
        </w:tc>
        <w:tc>
          <w:tcPr>
            <w:tcW w:type="dxa" w:w="1728"/>
          </w:tcPr>
          <w:p>
            <w:r>
              <w:rPr>
                <w:rFonts w:ascii="Calibri" w:hAnsi="Calibri"/>
                <w:sz w:val="22"/>
              </w:rPr>
              <w:t>~42.6% (implied by consensus gross profit / sales)</w:t>
            </w:r>
          </w:p>
        </w:tc>
        <w:tc>
          <w:tcPr>
            <w:tcW w:type="dxa" w:w="1728"/>
          </w:tcPr>
          <w:p>
            <w:r>
              <w:rPr>
                <w:rFonts w:ascii="Calibri" w:hAnsi="Calibri"/>
                <w:sz w:val="22"/>
              </w:rPr>
              <w:t>Quantified at DB conference Jun 3; ~43% ex-GOJO one-time costs; ~150bps Middle East energy headwind (incremental $20–25M)</w:t>
            </w:r>
          </w:p>
        </w:tc>
      </w:tr>
      <w:tr>
        <w:tc>
          <w:tcPr>
            <w:tcW w:type="dxa" w:w="1728"/>
          </w:tcPr>
          <w:p>
            <w:r>
              <w:rPr>
                <w:rFonts w:ascii="Calibri" w:hAnsi="Calibri"/>
                <w:sz w:val="22"/>
              </w:rPr>
              <w:t>FY26 Net Sales</w:t>
            </w:r>
          </w:p>
        </w:tc>
        <w:tc>
          <w:tcPr>
            <w:tcW w:type="dxa" w:w="1728"/>
          </w:tcPr>
          <w:p>
            <w:r>
              <w:rPr>
                <w:rFonts w:ascii="Calibri" w:hAnsi="Calibri"/>
                <w:sz w:val="22"/>
              </w:rPr>
              <w:t>GOJO adds ~$600M+ on FY basis (partial year, closed Apr 1)</w:t>
            </w:r>
          </w:p>
        </w:tc>
        <w:tc>
          <w:tcPr>
            <w:tcW w:type="dxa" w:w="1728"/>
          </w:tcPr>
          <w:p>
            <w:r>
              <w:rPr>
                <w:rFonts w:ascii="Calibri" w:hAnsi="Calibri"/>
                <w:sz w:val="22"/>
              </w:rPr>
              <w:t>—</w:t>
            </w:r>
          </w:p>
        </w:tc>
        <w:tc>
          <w:tcPr>
            <w:tcW w:type="dxa" w:w="1728"/>
          </w:tcPr>
          <w:p>
            <w:r>
              <w:rPr>
                <w:rFonts w:ascii="Calibri" w:hAnsi="Calibri"/>
                <w:sz w:val="22"/>
              </w:rPr>
              <w:t>$6.67B</w:t>
            </w:r>
          </w:p>
        </w:tc>
        <w:tc>
          <w:tcPr>
            <w:tcW w:type="dxa" w:w="1728"/>
          </w:tcPr>
          <w:p>
            <w:r>
              <w:rPr>
                <w:rFonts w:ascii="Calibri" w:hAnsi="Calibri"/>
                <w:sz w:val="22"/>
              </w:rPr>
              <w:t>No formal revenue guidance range; GOJO contribution confirmed at ~$600M+ for FY26 partial year</w:t>
            </w:r>
          </w:p>
        </w:tc>
      </w:tr>
      <w:tr>
        <w:tc>
          <w:tcPr>
            <w:tcW w:type="dxa" w:w="1728"/>
          </w:tcPr>
          <w:p>
            <w:r>
              <w:rPr>
                <w:rFonts w:ascii="Calibri" w:hAnsi="Calibri"/>
                <w:sz w:val="22"/>
              </w:rPr>
              <w:t>FY26 Debt / EBITDA</w:t>
            </w:r>
          </w:p>
        </w:tc>
        <w:tc>
          <w:tcPr>
            <w:tcW w:type="dxa" w:w="1728"/>
          </w:tcPr>
          <w:p>
            <w:r>
              <w:rPr>
                <w:rFonts w:ascii="Calibri" w:hAnsi="Calibri"/>
                <w:sz w:val="22"/>
              </w:rPr>
              <w:t>~3.6x at FY26 year-end; target ~2.5x within 2 years</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Confirmed at DB conference Jun 3; share repurchases suspended until target leverage reached</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w:t>
      </w:r>
      <w:r>
        <w:rPr>
          <w:rFonts w:ascii="Calibri" w:hAnsi="Calibri"/>
          <w:b/>
          <w:color w:val="525866"/>
          <w:sz w:val="22"/>
        </w:rPr>
        <w:t>remarkably stable since the Q3 print</w:t>
      </w:r>
      <w:r>
        <w:rPr>
          <w:rFonts w:ascii="Calibri" w:hAnsi="Calibri"/>
          <w:color w:val="525866"/>
          <w:sz w:val="22"/>
        </w:rPr>
        <w:t xml:space="preserve"> — the Street largely absorbed the guidance cut at the Q3 earnings call and has not revised materially since, suggesting the bar is well-understood. The </w:t>
      </w:r>
      <w:r>
        <w:rPr>
          <w:rFonts w:ascii="Calibri" w:hAnsi="Calibri"/>
          <w:b/>
          <w:color w:val="525866"/>
          <w:sz w:val="22"/>
        </w:rPr>
        <w:t>FY2027 estimate is the more interesting debate</w:t>
      </w:r>
      <w:r>
        <w:rPr>
          <w:rFonts w:ascii="Calibri" w:hAnsi="Calibri"/>
          <w:color w:val="525866"/>
          <w:sz w:val="22"/>
        </w:rPr>
        <w:t>: consensus at ~$5.92 adj. EPS embeds the ~$0.90 ERP reversal tailwind but must also absorb the Middle East energy cost headwind (magnitude highly uncertain), GOJO integration (EPS-neutral in year one), and incentive comp normalization — the net of these moving parts creates wide dispersion in FY27 estimates.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5, 2026 — 5 Days Post Q3 Print)</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(Q3 FY26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Operating (Q4 FY26)</w:t>
            </w:r>
          </w:p>
        </w:tc>
        <w:tc>
          <w:tcPr>
            <w:tcW w:type="dxa" w:w="1080"/>
          </w:tcPr>
          <w:p>
            <w:r>
              <w:rPr>
                <w:rFonts w:ascii="Calibri" w:hAnsi="Calibri"/>
                <w:sz w:val="22"/>
              </w:rPr>
              <w:t>$1.66</w:t>
            </w:r>
          </w:p>
        </w:tc>
        <w:tc>
          <w:tcPr>
            <w:tcW w:type="dxa" w:w="1080"/>
          </w:tcPr>
          <w:p>
            <w:r>
              <w:rPr>
                <w:rFonts w:ascii="Calibri" w:hAnsi="Calibri"/>
                <w:sz w:val="22"/>
              </w:rPr>
              <w:t>$1.69</w:t>
            </w:r>
          </w:p>
        </w:tc>
        <w:tc>
          <w:tcPr>
            <w:tcW w:type="dxa" w:w="1080"/>
          </w:tcPr>
          <w:p>
            <w:r>
              <w:rPr>
                <w:rFonts w:ascii="Calibri" w:hAnsi="Calibri"/>
                <w:sz w:val="22"/>
              </w:rPr>
              <w:t>+1.8%</w:t>
            </w:r>
          </w:p>
        </w:tc>
        <w:tc>
          <w:tcPr>
            <w:tcW w:type="dxa" w:w="1080"/>
          </w:tcPr>
          <w:p>
            <w:r>
              <w:rPr>
                <w:rFonts w:ascii="Calibri" w:hAnsi="Calibri"/>
                <w:sz w:val="22"/>
              </w:rPr>
              <w:t>Implied ~$1.66–1.70 (FY26 midpoint cut by $0.40 at Q3 print)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+1.8% above implied midpoint</w:t>
            </w:r>
          </w:p>
        </w:tc>
      </w:tr>
      <w:tr>
        <w:tc>
          <w:tcPr>
            <w:tcW w:type="dxa" w:w="1080"/>
          </w:tcPr>
          <w:p>
            <w:r>
              <w:rPr>
                <w:rFonts w:ascii="Calibri" w:hAnsi="Calibri"/>
                <w:sz w:val="22"/>
              </w:rPr>
              <w:t>Net Sales (Q4 FY26)</w:t>
            </w:r>
          </w:p>
        </w:tc>
        <w:tc>
          <w:tcPr>
            <w:tcW w:type="dxa" w:w="1080"/>
          </w:tcPr>
          <w:p>
            <w:r>
              <w:rPr>
                <w:rFonts w:ascii="Calibri" w:hAnsi="Calibri"/>
                <w:sz w:val="22"/>
              </w:rPr>
              <w:t>$1,917M</w:t>
            </w:r>
          </w:p>
        </w:tc>
        <w:tc>
          <w:tcPr>
            <w:tcW w:type="dxa" w:w="1080"/>
          </w:tcPr>
          <w:p>
            <w:r>
              <w:rPr>
                <w:rFonts w:ascii="Calibri" w:hAnsi="Calibri"/>
                <w:sz w:val="22"/>
              </w:rPr>
              <w:t>$1,899M</w:t>
            </w:r>
          </w:p>
        </w:tc>
        <w:tc>
          <w:tcPr>
            <w:tcW w:type="dxa" w:w="1080"/>
          </w:tcPr>
          <w:p>
            <w:r>
              <w:rPr>
                <w:rFonts w:ascii="Calibri" w:hAnsi="Calibri"/>
                <w:sz w:val="22"/>
              </w:rPr>
              <w:t>−0.9%</w:t>
            </w:r>
          </w:p>
        </w:tc>
        <w:tc>
          <w:tcPr>
            <w:tcW w:type="dxa" w:w="1080"/>
          </w:tcPr>
          <w:p>
            <w:r>
              <w:rPr>
                <w:rFonts w:ascii="Calibri" w:hAnsi="Calibri"/>
                <w:sz w:val="22"/>
              </w:rPr>
              <w:t>Organic ~flat; GOJO partial quarter contribution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framework</w:t>
            </w:r>
          </w:p>
        </w:tc>
      </w:tr>
      <w:tr>
        <w:tc>
          <w:tcPr>
            <w:tcW w:type="dxa" w:w="1080"/>
          </w:tcPr>
          <w:p>
            <w:r>
              <w:rPr>
                <w:rFonts w:ascii="Calibri" w:hAnsi="Calibri"/>
                <w:sz w:val="22"/>
              </w:rPr>
              <w:t>Adj. EPS — Operating (FY26)</w:t>
            </w:r>
          </w:p>
        </w:tc>
        <w:tc>
          <w:tcPr>
            <w:tcW w:type="dxa" w:w="1080"/>
          </w:tcPr>
          <w:p>
            <w:r>
              <w:rPr>
                <w:rFonts w:ascii="Calibri" w:hAnsi="Calibri"/>
                <w:sz w:val="22"/>
              </w:rPr>
              <w:t>$5.54</w:t>
            </w:r>
          </w:p>
        </w:tc>
        <w:tc>
          <w:tcPr>
            <w:tcW w:type="dxa" w:w="1080"/>
          </w:tcPr>
          <w:p>
            <w:r>
              <w:rPr>
                <w:rFonts w:ascii="Calibri" w:hAnsi="Calibri"/>
                <w:sz w:val="22"/>
              </w:rPr>
              <w:t>$5.56</w:t>
            </w:r>
          </w:p>
        </w:tc>
        <w:tc>
          <w:tcPr>
            <w:tcW w:type="dxa" w:w="1080"/>
          </w:tcPr>
          <w:p>
            <w:r>
              <w:rPr>
                <w:rFonts w:ascii="Calibri" w:hAnsi="Calibri"/>
                <w:sz w:val="22"/>
              </w:rPr>
              <w:t>+0.4%</w:t>
            </w:r>
          </w:p>
        </w:tc>
        <w:tc>
          <w:tcPr>
            <w:tcW w:type="dxa" w:w="1080"/>
          </w:tcPr>
          <w:p>
            <w:r>
              <w:rPr>
                <w:rFonts w:ascii="Calibri" w:hAnsi="Calibri"/>
                <w:sz w:val="22"/>
              </w:rPr>
              <w:t>Midpoint cut by $0.40 at Q3 print; new implied range ~$5.40–5.60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+0.4% above implied midpoint</w:t>
            </w:r>
          </w:p>
        </w:tc>
      </w:tr>
      <w:tr>
        <w:tc>
          <w:tcPr>
            <w:tcW w:type="dxa" w:w="1080"/>
          </w:tcPr>
          <w:p>
            <w:r>
              <w:rPr>
                <w:rFonts w:ascii="Calibri" w:hAnsi="Calibri"/>
                <w:sz w:val="22"/>
              </w:rPr>
              <w:t>Net Sales (FY26)</w:t>
            </w:r>
          </w:p>
        </w:tc>
        <w:tc>
          <w:tcPr>
            <w:tcW w:type="dxa" w:w="1080"/>
          </w:tcPr>
          <w:p>
            <w:r>
              <w:rPr>
                <w:rFonts w:ascii="Calibri" w:hAnsi="Calibri"/>
                <w:sz w:val="22"/>
              </w:rPr>
              <w:t>$6,689M</w:t>
            </w:r>
          </w:p>
        </w:tc>
        <w:tc>
          <w:tcPr>
            <w:tcW w:type="dxa" w:w="1080"/>
          </w:tcPr>
          <w:p>
            <w:r>
              <w:rPr>
                <w:rFonts w:ascii="Calibri" w:hAnsi="Calibri"/>
                <w:sz w:val="22"/>
              </w:rPr>
              <w:t>$6,672M</w:t>
            </w:r>
          </w:p>
        </w:tc>
        <w:tc>
          <w:tcPr>
            <w:tcW w:type="dxa" w:w="1080"/>
          </w:tcPr>
          <w:p>
            <w:r>
              <w:rPr>
                <w:rFonts w:ascii="Calibri" w:hAnsi="Calibri"/>
                <w:sz w:val="22"/>
              </w:rPr>
              <w:t>−0.3%</w:t>
            </w:r>
          </w:p>
        </w:tc>
        <w:tc>
          <w:tcPr>
            <w:tcW w:type="dxa" w:w="1080"/>
          </w:tcPr>
          <w:p>
            <w:r>
              <w:rPr>
                <w:rFonts w:ascii="Calibri" w:hAnsi="Calibri"/>
                <w:sz w:val="22"/>
              </w:rPr>
              <w:t>GOJO adds ~$600M+ partial year</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EPS — Operating (FY27)</w:t>
            </w:r>
          </w:p>
        </w:tc>
        <w:tc>
          <w:tcPr>
            <w:tcW w:type="dxa" w:w="1080"/>
          </w:tcPr>
          <w:p>
            <w:r>
              <w:rPr>
                <w:rFonts w:ascii="Calibri" w:hAnsi="Calibri"/>
                <w:sz w:val="22"/>
              </w:rPr>
              <w:t>$6.21</w:t>
            </w:r>
          </w:p>
        </w:tc>
        <w:tc>
          <w:tcPr>
            <w:tcW w:type="dxa" w:w="1080"/>
          </w:tcPr>
          <w:p>
            <w:r>
              <w:rPr>
                <w:rFonts w:ascii="Calibri" w:hAnsi="Calibri"/>
                <w:sz w:val="22"/>
              </w:rPr>
              <w:t>$5.92</w:t>
            </w:r>
          </w:p>
        </w:tc>
        <w:tc>
          <w:tcPr>
            <w:tcW w:type="dxa" w:w="1080"/>
          </w:tcPr>
          <w:p>
            <w:r>
              <w:rPr>
                <w:rFonts w:ascii="Calibri" w:hAnsi="Calibri"/>
                <w:sz w:val="22"/>
              </w:rPr>
              <w:t>−4.7%</w:t>
            </w:r>
          </w:p>
        </w:tc>
        <w:tc>
          <w:tcPr>
            <w:tcW w:type="dxa" w:w="1080"/>
          </w:tcPr>
          <w:p>
            <w:r>
              <w:rPr>
                <w:rFonts w:ascii="Calibri" w:hAnsi="Calibri"/>
                <w:sz w:val="22"/>
              </w:rPr>
              <w:t>ERP reversal tailwind ~$0.90; GOJO EPS-neutral yr 1; incentive comp headwind</w:t>
            </w:r>
          </w:p>
        </w:tc>
        <w:tc>
          <w:tcPr>
            <w:tcW w:type="dxa" w:w="1080"/>
          </w:tcPr>
          <w:p>
            <w:r>
              <w:rPr>
                <w:rFonts w:ascii="Calibri" w:hAnsi="Calibri"/>
                <w:sz w:val="22"/>
              </w:rPr>
              <w:t>No formal FY27 guidance yet</w:t>
            </w:r>
          </w:p>
        </w:tc>
        <w:tc>
          <w:tcPr>
            <w:tcW w:type="dxa" w:w="1080"/>
          </w:tcPr>
          <w:p>
            <w:r>
              <w:rPr>
                <w:rFonts w:ascii="Calibri" w:hAnsi="Calibri"/>
                <w:sz w:val="22"/>
              </w:rPr>
              <w:t>—</w:t>
            </w:r>
          </w:p>
        </w:tc>
        <w:tc>
          <w:tcPr>
            <w:tcW w:type="dxa" w:w="1080"/>
          </w:tcPr>
          <w:p>
            <w:r>
              <w:rPr>
                <w:rFonts w:ascii="Calibri" w:hAnsi="Calibri"/>
                <w:sz w:val="22"/>
              </w:rPr>
              <w:t>N/A — no guidance</w:t>
            </w:r>
          </w:p>
        </w:tc>
      </w:tr>
      <w:tr>
        <w:tc>
          <w:tcPr>
            <w:tcW w:type="dxa" w:w="1080"/>
          </w:tcPr>
          <w:p>
            <w:r>
              <w:rPr>
                <w:rFonts w:ascii="Calibri" w:hAnsi="Calibri"/>
                <w:sz w:val="22"/>
              </w:rPr>
              <w:t>Net Sales (FY27)</w:t>
            </w:r>
          </w:p>
        </w:tc>
        <w:tc>
          <w:tcPr>
            <w:tcW w:type="dxa" w:w="1080"/>
          </w:tcPr>
          <w:p>
            <w:r>
              <w:rPr>
                <w:rFonts w:ascii="Calibri" w:hAnsi="Calibri"/>
                <w:sz w:val="22"/>
              </w:rPr>
              <w:t>$7,612M</w:t>
            </w:r>
          </w:p>
        </w:tc>
        <w:tc>
          <w:tcPr>
            <w:tcW w:type="dxa" w:w="1080"/>
          </w:tcPr>
          <w:p>
            <w:r>
              <w:rPr>
                <w:rFonts w:ascii="Calibri" w:hAnsi="Calibri"/>
                <w:sz w:val="22"/>
              </w:rPr>
              <w:t>$7,521M</w:t>
            </w:r>
          </w:p>
        </w:tc>
        <w:tc>
          <w:tcPr>
            <w:tcW w:type="dxa" w:w="1080"/>
          </w:tcPr>
          <w:p>
            <w:r>
              <w:rPr>
                <w:rFonts w:ascii="Calibri" w:hAnsi="Calibri"/>
                <w:sz w:val="22"/>
              </w:rPr>
              <w:t>−1.2%</w:t>
            </w:r>
          </w:p>
        </w:tc>
        <w:tc>
          <w:tcPr>
            <w:tcW w:type="dxa" w:w="1080"/>
          </w:tcPr>
          <w:p>
            <w:r>
              <w:rPr>
                <w:rFonts w:ascii="Calibri" w:hAnsi="Calibri"/>
                <w:sz w:val="22"/>
              </w:rPr>
              <w:t>GOJO full year adds ~$600M+; ERP reversal adds ~3.5% to sales</w:t>
            </w:r>
          </w:p>
        </w:tc>
        <w:tc>
          <w:tcPr>
            <w:tcW w:type="dxa" w:w="1080"/>
          </w:tcPr>
          <w:p>
            <w:r>
              <w:rPr>
                <w:rFonts w:ascii="Calibri" w:hAnsi="Calibri"/>
                <w:sz w:val="22"/>
              </w:rPr>
              <w:t>No formal FY27 guidance yet</w:t>
            </w:r>
          </w:p>
        </w:tc>
        <w:tc>
          <w:tcPr>
            <w:tcW w:type="dxa" w:w="1080"/>
          </w:tcPr>
          <w:p>
            <w:r>
              <w:rPr>
                <w:rFonts w:ascii="Calibri" w:hAnsi="Calibri"/>
                <w:sz w:val="22"/>
              </w:rPr>
              <w:t>—</w:t>
            </w:r>
          </w:p>
        </w:tc>
        <w:tc>
          <w:tcPr>
            <w:tcW w:type="dxa" w:w="1080"/>
          </w:tcPr>
          <w:p>
            <w:r>
              <w:rPr>
                <w:rFonts w:ascii="Calibri" w:hAnsi="Calibri"/>
                <w:sz w:val="22"/>
              </w:rPr>
              <w:t>N/A — no guidance</w:t>
            </w:r>
          </w:p>
        </w:tc>
      </w:tr>
    </w:tbl>
    <w:p>
      <w:r>
        <w:rPr>
          <w:rFonts w:ascii="Calibri" w:hAnsi="Calibri"/>
          <w:i/>
          <w:color w:val="525866"/>
          <w:sz w:val="22"/>
        </w:rPr>
        <w:t xml:space="preserve">The notable revision is the FY2027 adj. EPS estimate, which has been revised </w:t>
      </w:r>
      <w:r>
        <w:rPr>
          <w:rFonts w:ascii="Calibri" w:hAnsi="Calibri"/>
          <w:b/>
          <w:i/>
          <w:color w:val="525866"/>
          <w:sz w:val="22"/>
        </w:rPr>
        <w:t>down ~4.7%</w:t>
      </w:r>
      <w:r>
        <w:rPr>
          <w:rFonts w:ascii="Calibri" w:hAnsi="Calibri"/>
          <w:i/>
          <w:color w:val="525866"/>
          <w:sz w:val="22"/>
        </w:rPr>
        <w:t xml:space="preserve"> from the post-Q3 baseline ($6.21 → $5.92), reflecting the Street incorporating the Middle East energy cost headwind into the forward year. This is the key debate heading into the print: management's Q4 FY26 commentary on the trajectory of energy costs and the FY27 cost outlook will be the primary driver of estimate revisions post-print.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CLX has </w:t>
      </w:r>
      <w:r>
        <w:rPr>
          <w:rFonts w:ascii="Calibri" w:hAnsi="Calibri"/>
          <w:b/>
          <w:color w:val="525866"/>
          <w:sz w:val="22"/>
        </w:rPr>
        <w:t>significantly underperformed</w:t>
      </w:r>
      <w:r>
        <w:rPr>
          <w:rFonts w:ascii="Calibri" w:hAnsi="Calibri"/>
          <w:color w:val="525866"/>
          <w:sz w:val="22"/>
        </w:rPr>
        <w:t xml:space="preserve"> both XLP (+0.9%) and the S&amp;P 500 (+4.0%) since the Q3 FY26 earnings date (April 30, 2026), with the stock essentially flat at −0.9%. The underperformance is driven by </w:t>
      </w:r>
      <w:r>
        <w:rPr>
          <w:rFonts w:ascii="Calibri" w:hAnsi="Calibri"/>
          <w:b/>
          <w:color w:val="525866"/>
          <w:sz w:val="22"/>
        </w:rPr>
        <w:t>multiple compression and sentiment</w:t>
      </w:r>
      <w:r>
        <w:rPr>
          <w:rFonts w:ascii="Calibri" w:hAnsi="Calibri"/>
          <w:color w:val="525866"/>
          <w:sz w:val="22"/>
        </w:rPr>
        <w:t xml:space="preserve"> rather than estimate revisions (which have been minimal) — the CEO transition announcement (May 28) was the single largest negative catalyst, sending the stock down ~6% in a single session, and the stock has not fully recovered. The compressed multiple (mid-to-high teens forward P/E vs. historical average) reflects the market's skepticism about near-term growth and the GOJO integration overhang.</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CLX vs XLP (Consumer Staples ETF) vs S&amp;P 500 (SPY) — Indexed to 100 at April 30, 2026 (Last Earnings Date). Key events marked: Q3 FY26 Earnings (Apr 30 AH), $1.5B Senior Notes Raised (May 11), CEO Transition Announced (May 28), Deutsche Bank Consumer Conference (Jun 3), Hyder COO / Barton CGO Appointments (Jun 17). Source: Yahoo Finance.</w:t>
      </w:r>
    </w:p>
    <w:p>
      <w:r>
        <w:rPr>
          <w:rFonts w:ascii="Calibri" w:hAnsi="Calibri"/>
          <w:b/>
          <w:color w:val="525866"/>
          <w:sz w:val="22"/>
        </w:rPr>
        <w:t xml:space="preserve">Key observations: </w:t>
      </w:r>
      <w:r>
        <w:rPr>
          <w:rFonts w:ascii="Calibri" w:hAnsi="Calibri"/>
          <w:color w:val="525866"/>
          <w:sz w:val="22"/>
        </w:rPr>
        <w:t>(1) The CEO transition announcement on May 28 was the dominant negative event, with CLX falling ~6% while XLP was flat and SPY was slightly positive. (2) The stock partially recovered through mid-June as management provided reassurance at the Deutsche Bank conference (Jun 3) and the executive appointment announcements (Jun 17) signaled leadership continuity. (3) The stock has traded in a narrow $90–$100 range since June, suggesting the market is in a "wait and see" mode ahead of the Q4 print and FY27 guidance. (4) XLP has been a modest outperformer, reflecting the sector's defensive appeal in a volatile macro environment, while SPY's outperformance reflects the broader market's risk-on tone.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w:t>
      </w:r>
      <w:r>
        <w:rPr>
          <w:rFonts w:ascii="Calibri" w:hAnsi="Calibri"/>
          <w:b/>
          <w:color w:val="525866"/>
          <w:sz w:val="22"/>
        </w:rPr>
        <w:t>CEO transition announcement (May 28)</w:t>
      </w:r>
      <w:r>
        <w:rPr>
          <w:rFonts w:ascii="Calibri" w:hAnsi="Calibri"/>
          <w:color w:val="525866"/>
          <w:sz w:val="22"/>
        </w:rPr>
        <w:t xml:space="preserve"> is the most consequential development since the Q3 print — it introduces leadership uncertainty at a critical juncture when the company is integrating GOJO, navigating ERP optimization, and managing a challenging consumer environment. The </w:t>
      </w:r>
      <w:r>
        <w:rPr>
          <w:rFonts w:ascii="Calibri" w:hAnsi="Calibri"/>
          <w:b/>
          <w:color w:val="525866"/>
          <w:sz w:val="22"/>
        </w:rPr>
        <w:t>GOJO integration progress and FY27 cost outlook</w:t>
      </w:r>
      <w:r>
        <w:rPr>
          <w:rFonts w:ascii="Calibri" w:hAnsi="Calibri"/>
          <w:color w:val="525866"/>
          <w:sz w:val="22"/>
        </w:rPr>
        <w:t xml:space="preserve"> will be the two most watched items on the Q4 call.</w:t>
      </w:r>
    </w:p>
    <w:p>
      <w:pPr>
        <w:pStyle w:val="ListBullet"/>
        <w:ind w:left="360" w:hanging="360"/>
      </w:pPr>
      <w:r>
        <w:rPr>
          <w:rFonts w:ascii="Calibri" w:hAnsi="Calibri"/>
          <w:b/>
          <w:color w:val="525866"/>
          <w:sz w:val="22"/>
        </w:rPr>
        <w:t>May 28, 2026 — CEO Linda Rendle announces she is stepping down for health reasons.</w:t>
      </w:r>
      <w:r>
        <w:rPr>
          <w:rFonts w:ascii="Calibri" w:hAnsi="Calibri"/>
          <w:color w:val="525866"/>
          <w:sz w:val="22"/>
        </w:rPr>
        <w:t xml:space="preserve"> Board initiates comprehensive CEO search led by an independent committee with an external search firm. Rendle remains Chair and CEO during the transition and will serve in an advisory role after a successor is appointed. Stock fell ~6% on the day. </w:t>
      </w:r>
      <w:r>
        <w:rPr>
          <w:rFonts w:ascii="Calibri" w:hAnsi="Calibri"/>
          <w:b/>
          <w:color w:val="525866"/>
          <w:sz w:val="22"/>
        </w:rPr>
        <w:t>Implication:</w:t>
      </w:r>
      <w:r>
        <w:rPr>
          <w:rFonts w:ascii="Calibri" w:hAnsi="Calibri"/>
          <w:color w:val="525866"/>
          <w:sz w:val="22"/>
        </w:rPr>
        <w:t xml:space="preserve"> Leadership uncertainty at a critical integration and transformation juncture; investors will focus on Q4 call for any update on search timeline and whether strategy remains intact.</w:t>
      </w:r>
    </w:p>
    <w:p>
      <w:pPr>
        <w:pStyle w:val="ListBullet"/>
        <w:ind w:left="360" w:hanging="360"/>
      </w:pPr>
      <w:r>
        <w:rPr>
          <w:rFonts w:ascii="Calibri" w:hAnsi="Calibri"/>
          <w:b/>
          <w:color w:val="525866"/>
          <w:sz w:val="22"/>
        </w:rPr>
        <w:t>May 11, 2026 — Clorox raises $1.5 billion through senior note sale.</w:t>
      </w:r>
      <w:r>
        <w:rPr>
          <w:rFonts w:ascii="Calibri" w:hAnsi="Calibri"/>
          <w:color w:val="525866"/>
          <w:sz w:val="22"/>
        </w:rPr>
        <w:t xml:space="preserve"> Three tranches: $550M at 4.700% due 2031, $400M at 4.950% due 2033, $550M at 5.250% due 2036. </w:t>
      </w:r>
      <w:r>
        <w:rPr>
          <w:rFonts w:ascii="Calibri" w:hAnsi="Calibri"/>
          <w:b/>
          <w:color w:val="525866"/>
          <w:sz w:val="22"/>
        </w:rPr>
        <w:t>Implication:</w:t>
      </w:r>
      <w:r>
        <w:rPr>
          <w:rFonts w:ascii="Calibri" w:hAnsi="Calibri"/>
          <w:color w:val="525866"/>
          <w:sz w:val="22"/>
        </w:rPr>
        <w:t xml:space="preserve"> Debt financing to fund the GOJO acquisition; adds to interest expense burden and reinforces the leverage reduction priority; share repurchases remain suspended.</w:t>
      </w:r>
    </w:p>
    <w:p>
      <w:pPr>
        <w:pStyle w:val="ListBullet"/>
        <w:ind w:left="360" w:hanging="360"/>
      </w:pPr>
      <w:r>
        <w:rPr>
          <w:rFonts w:ascii="Calibri" w:hAnsi="Calibri"/>
          <w:b/>
          <w:color w:val="525866"/>
          <w:sz w:val="22"/>
        </w:rPr>
        <w:t>June 3, 2026 — Deutsche Bank Global Consumer Conference.</w:t>
      </w:r>
      <w:r>
        <w:rPr>
          <w:rFonts w:ascii="Calibri" w:hAnsi="Calibri"/>
          <w:color w:val="525866"/>
          <w:sz w:val="22"/>
        </w:rPr>
        <w:t xml:space="preserve"> CFO Luc Bellet and CEO Linda Rendle provided detailed Q4 FY26 framework: organic growth ~flat, gross margin 41–42% reported (~43% ex-GOJO one-time costs), incremental $20–25M Middle East energy cost headwind (~150bps gross margin pressure). ERP stabilization costs expected to be minimal in Q4. </w:t>
      </w:r>
      <w:r>
        <w:rPr>
          <w:rFonts w:ascii="Calibri" w:hAnsi="Calibri"/>
          <w:b/>
          <w:color w:val="525866"/>
          <w:sz w:val="22"/>
        </w:rPr>
        <w:t>Implication:</w:t>
      </w:r>
      <w:r>
        <w:rPr>
          <w:rFonts w:ascii="Calibri" w:hAnsi="Calibri"/>
          <w:color w:val="525866"/>
          <w:sz w:val="22"/>
        </w:rPr>
        <w:t xml:space="preserve"> Most important post-earnings guidance update; sets the bar for Q4 and reduces risk of a further guidance cut, but gross margin remains the key uncertainty.</w:t>
      </w:r>
    </w:p>
    <w:p>
      <w:pPr>
        <w:pStyle w:val="ListBullet"/>
        <w:ind w:left="360" w:hanging="360"/>
      </w:pPr>
      <w:r>
        <w:rPr>
          <w:rFonts w:ascii="Calibri" w:hAnsi="Calibri"/>
          <w:b/>
          <w:color w:val="525866"/>
          <w:sz w:val="22"/>
        </w:rPr>
        <w:t>June 17, 2026 — Clorox appoints Chris Hyder as EVP and COO, Nina Barton as EVP and Chief Growth &amp; Strategy Officer.</w:t>
      </w:r>
      <w:r>
        <w:rPr>
          <w:rFonts w:ascii="Calibri" w:hAnsi="Calibri"/>
          <w:color w:val="525866"/>
          <w:sz w:val="22"/>
        </w:rPr>
        <w:t xml:space="preserve"> Both effective June 17, 2026. Hyder's base salary raised to $800K; receives $4M RSU grant vesting in 3 years. </w:t>
      </w:r>
      <w:r>
        <w:rPr>
          <w:rFonts w:ascii="Calibri" w:hAnsi="Calibri"/>
          <w:b/>
          <w:color w:val="525866"/>
          <w:sz w:val="22"/>
        </w:rPr>
        <w:t>Implication:</w:t>
      </w:r>
      <w:r>
        <w:rPr>
          <w:rFonts w:ascii="Calibri" w:hAnsi="Calibri"/>
          <w:color w:val="525866"/>
          <w:sz w:val="22"/>
        </w:rPr>
        <w:t xml:space="preserve"> Signals leadership continuity and bench strength during CEO search; Hyder's COO appointment is a positive signal for operational execution focus.</w:t>
      </w:r>
    </w:p>
    <w:p>
      <w:pPr>
        <w:pStyle w:val="ListBullet"/>
        <w:ind w:left="360" w:hanging="360"/>
      </w:pPr>
      <w:r>
        <w:rPr>
          <w:rFonts w:ascii="Calibri" w:hAnsi="Calibri"/>
          <w:b/>
          <w:color w:val="525866"/>
          <w:sz w:val="22"/>
        </w:rPr>
        <w:t>April 1, 2026 — GOJO Industries (Purell) acquisition closed.</w:t>
      </w:r>
      <w:r>
        <w:rPr>
          <w:rFonts w:ascii="Calibri" w:hAnsi="Calibri"/>
          <w:color w:val="525866"/>
          <w:sz w:val="22"/>
        </w:rPr>
        <w:t xml:space="preserve"> ~$800M business, 80% B2B / 20% retail, growing at mid-single digits. GOJO gross margin ~40% (modest headwind to total company), EBITDA margins comparable to CLX overall. Full management team retained; headquartered in Akron, Ohio. </w:t>
      </w:r>
      <w:r>
        <w:rPr>
          <w:rFonts w:ascii="Calibri" w:hAnsi="Calibri"/>
          <w:b/>
          <w:color w:val="525866"/>
          <w:sz w:val="22"/>
        </w:rPr>
        <w:t>Implication:</w:t>
      </w:r>
      <w:r>
        <w:rPr>
          <w:rFonts w:ascii="Calibri" w:hAnsi="Calibri"/>
          <w:color w:val="525866"/>
          <w:sz w:val="22"/>
        </w:rPr>
        <w:t xml:space="preserve"> Q4 FY26 will be the first full quarter with GOJO consolidated; investors will focus on integration progress, revenue synergy pipeline, and the ~$50M run-rate cost synergy target (expected to begin in year two).</w:t>
      </w:r>
    </w:p>
    <w:p>
      <w:pPr>
        <w:pStyle w:val="ListBullet"/>
        <w:ind w:left="360" w:hanging="360"/>
      </w:pPr>
      <w:r>
        <w:rPr>
          <w:rFonts w:ascii="Calibri" w:hAnsi="Calibri"/>
          <w:b/>
          <w:color w:val="525866"/>
          <w:sz w:val="22"/>
        </w:rPr>
        <w:t>Ongoing — Middle East conflict driving energy and supply chain cost inflation.</w:t>
      </w:r>
      <w:r>
        <w:rPr>
          <w:rFonts w:ascii="Calibri" w:hAnsi="Calibri"/>
          <w:color w:val="525866"/>
          <w:sz w:val="22"/>
        </w:rPr>
        <w:t xml:space="preserve"> Both CLX and peers (PG, CHD) have quantified material headwinds: CLX guided $20–25M incremental in Q4 FY26 (~150bps gross margin); PG guided ~$1B after-tax headwind for FY27; CHD quantified ~$30M for FY26 (fully mitigated through productivity). </w:t>
      </w:r>
      <w:r>
        <w:rPr>
          <w:rFonts w:ascii="Calibri" w:hAnsi="Calibri"/>
          <w:b/>
          <w:color w:val="525866"/>
          <w:sz w:val="22"/>
        </w:rPr>
        <w:t>Implication:</w:t>
      </w:r>
      <w:r>
        <w:rPr>
          <w:rFonts w:ascii="Calibri" w:hAnsi="Calibri"/>
          <w:color w:val="525866"/>
          <w:sz w:val="22"/>
        </w:rPr>
        <w:t xml:space="preserve"> The trajectory of crude oil prices (both companies assume ~$90/bbl Brent) is the single biggest macro wildcard for FY27 guidance; any moderation would be a positive catalyst.</w:t>
      </w:r>
    </w:p>
    <w:p>
      <w:pPr>
        <w:pStyle w:val="ListBullet"/>
        <w:ind w:left="360" w:hanging="360"/>
      </w:pPr>
      <w:r>
        <w:rPr>
          <w:rFonts w:ascii="Calibri" w:hAnsi="Calibri"/>
          <w:b/>
          <w:color w:val="525866"/>
          <w:sz w:val="22"/>
        </w:rPr>
        <w:t>Ongoing — Fresh Step litter relaunch proving bumpier than expected.</w:t>
      </w:r>
      <w:r>
        <w:rPr>
          <w:rFonts w:ascii="Calibri" w:hAnsi="Calibri"/>
          <w:color w:val="525866"/>
          <w:sz w:val="22"/>
        </w:rPr>
        <w:t xml:space="preserve"> Hard UPC conversion, shelf placement issues at key retailers, and velocity noise from the transition. Management characterizes litter recovery as a multiyear process with innovation pipeline kicking in earnest in calendar year 2027. Near-term goal is simply to grow in line with the category (mid-single digit grower). </w:t>
      </w:r>
      <w:r>
        <w:rPr>
          <w:rFonts w:ascii="Calibri" w:hAnsi="Calibri"/>
          <w:b/>
          <w:color w:val="525866"/>
          <w:sz w:val="22"/>
        </w:rPr>
        <w:t>Implication:</w:t>
      </w:r>
      <w:r>
        <w:rPr>
          <w:rFonts w:ascii="Calibri" w:hAnsi="Calibri"/>
          <w:color w:val="525866"/>
          <w:sz w:val="22"/>
        </w:rPr>
        <w:t xml:space="preserve"> Litter is CLX's largest brand and a key share recovery story; any update on Q4 shelf reset progress and velocity trends will be closely watched.</w:t>
      </w:r>
    </w:p>
    <w:p>
      <w:pPr>
        <w:pStyle w:val="ListBullet"/>
        <w:ind w:left="360" w:hanging="360"/>
      </w:pPr>
      <w:r>
        <w:rPr>
          <w:rFonts w:ascii="Calibri" w:hAnsi="Calibri"/>
          <w:b/>
          <w:color w:val="525866"/>
          <w:sz w:val="22"/>
        </w:rPr>
        <w:t>Positive — Glad trash bags reach share growth inflection.</w:t>
      </w:r>
      <w:r>
        <w:rPr>
          <w:rFonts w:ascii="Calibri" w:hAnsi="Calibri"/>
          <w:color w:val="525866"/>
          <w:sz w:val="22"/>
        </w:rPr>
        <w:t xml:space="preserve"> New LeakGuard technology, Moonlight Breeze scent launch, and targeted price investment on key 80-count item drove mid-to-high single digit share growth on that item. </w:t>
      </w:r>
      <w:r>
        <w:rPr>
          <w:rFonts w:ascii="Calibri" w:hAnsi="Calibri"/>
          <w:b/>
          <w:color w:val="525866"/>
          <w:sz w:val="22"/>
        </w:rPr>
        <w:t>Implication:</w:t>
      </w:r>
      <w:r>
        <w:rPr>
          <w:rFonts w:ascii="Calibri" w:hAnsi="Calibri"/>
          <w:color w:val="525866"/>
          <w:sz w:val="22"/>
        </w:rPr>
        <w:t xml:space="preserve"> One of the key proof points management highlighted; continued share growth in Glad would be a positive signal for the innovation-led recovery thesis.</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 xml:space="preserve">The most notable signal is a </w:t>
      </w:r>
      <w:r>
        <w:rPr>
          <w:rFonts w:ascii="Calibri" w:hAnsi="Calibri"/>
          <w:b/>
          <w:color w:val="525866"/>
          <w:sz w:val="22"/>
        </w:rPr>
        <w:t>discretionary open-market buy by Director Pierre Breber on May 5, 2026</w:t>
      </w:r>
      <w:r>
        <w:rPr>
          <w:rFonts w:ascii="Calibri" w:hAnsi="Calibri"/>
          <w:color w:val="525866"/>
          <w:sz w:val="22"/>
        </w:rPr>
        <w:t xml:space="preserve"> — purchasing 5,000 shares by trust at ~$86/share (approximately $430K) just days after the Q3 earnings-driven selloff. This is a meaningful positive signal from a board member buying into weakness. The June 17 executive grants (code A) to Hyder, Hilt, Marriner, and Barton are compensation-related awards, not open-market purchases, and carry no directional signal. The July tax withholding transactions (code F) by Barton and Hyder are routine obligation-driven events.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Pierre R. Breber</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5,000 shares (~$430K at ~$86/sh)</w:t>
            </w:r>
          </w:p>
        </w:tc>
        <w:tc>
          <w:tcPr>
            <w:tcW w:type="dxa" w:w="1440"/>
          </w:tcPr>
          <w:p>
            <w:r>
              <w:rPr>
                <w:rFonts w:ascii="Calibri" w:hAnsi="Calibri"/>
                <w:sz w:val="22"/>
              </w:rPr>
              <w:t>May 5, 2026</w:t>
            </w:r>
          </w:p>
        </w:tc>
        <w:tc>
          <w:tcPr>
            <w:tcW w:type="dxa" w:w="1440"/>
          </w:tcPr>
          <w:p>
            <w:r>
              <w:rPr>
                <w:rFonts w:ascii="Calibri" w:hAnsi="Calibri"/>
                <w:sz w:val="22"/>
              </w:rPr>
              <w:t>Discretionary purchase by trust; bought into post-Q3 earnings weakness; most notable signal in the period</w:t>
            </w:r>
          </w:p>
        </w:tc>
      </w:tr>
      <w:tr>
        <w:tc>
          <w:tcPr>
            <w:tcW w:type="dxa" w:w="1440"/>
          </w:tcPr>
          <w:p>
            <w:r>
              <w:rPr>
                <w:rFonts w:ascii="Calibri" w:hAnsi="Calibri"/>
                <w:sz w:val="22"/>
              </w:rPr>
              <w:t>Luc Bellet</w:t>
            </w:r>
          </w:p>
        </w:tc>
        <w:tc>
          <w:tcPr>
            <w:tcW w:type="dxa" w:w="1440"/>
          </w:tcPr>
          <w:p>
            <w:r>
              <w:rPr>
                <w:rFonts w:ascii="Calibri" w:hAnsi="Calibri"/>
                <w:sz w:val="22"/>
              </w:rPr>
              <w:t>EVP — CFO</w:t>
            </w:r>
          </w:p>
        </w:tc>
        <w:tc>
          <w:tcPr>
            <w:tcW w:type="dxa" w:w="1440"/>
          </w:tcPr>
          <w:p>
            <w:r>
              <w:rPr>
                <w:rFonts w:ascii="Calibri" w:hAnsi="Calibri"/>
                <w:sz w:val="22"/>
              </w:rPr>
              <w:t>Award (Compensation Grant)</w:t>
            </w:r>
          </w:p>
        </w:tc>
        <w:tc>
          <w:tcPr>
            <w:tcW w:type="dxa" w:w="1440"/>
          </w:tcPr>
          <w:p>
            <w:r>
              <w:rPr>
                <w:rFonts w:ascii="Calibri" w:hAnsi="Calibri"/>
                <w:sz w:val="22"/>
              </w:rPr>
              <w:t>42,118 shares</w:t>
            </w:r>
          </w:p>
        </w:tc>
        <w:tc>
          <w:tcPr>
            <w:tcW w:type="dxa" w:w="1440"/>
          </w:tcPr>
          <w:p>
            <w:r>
              <w:rPr>
                <w:rFonts w:ascii="Calibri" w:hAnsi="Calibri"/>
                <w:sz w:val="22"/>
              </w:rPr>
              <w:t>Jun 17, 2026</w:t>
            </w:r>
          </w:p>
        </w:tc>
        <w:tc>
          <w:tcPr>
            <w:tcW w:type="dxa" w:w="1440"/>
          </w:tcPr>
          <w:p>
            <w:r>
              <w:rPr>
                <w:rFonts w:ascii="Calibri" w:hAnsi="Calibri"/>
                <w:sz w:val="22"/>
              </w:rPr>
              <w:t>Compensation-related award (code A); not an open-market purchase; no directional signal</w:t>
            </w:r>
          </w:p>
        </w:tc>
      </w:tr>
      <w:tr>
        <w:tc>
          <w:tcPr>
            <w:tcW w:type="dxa" w:w="1440"/>
          </w:tcPr>
          <w:p>
            <w:r>
              <w:rPr>
                <w:rFonts w:ascii="Calibri" w:hAnsi="Calibri"/>
                <w:sz w:val="22"/>
              </w:rPr>
              <w:t>Chris Hyder</w:t>
            </w:r>
          </w:p>
        </w:tc>
        <w:tc>
          <w:tcPr>
            <w:tcW w:type="dxa" w:w="1440"/>
          </w:tcPr>
          <w:p>
            <w:r>
              <w:rPr>
                <w:rFonts w:ascii="Calibri" w:hAnsi="Calibri"/>
                <w:sz w:val="22"/>
              </w:rPr>
              <w:t>EVP — COO</w:t>
            </w:r>
          </w:p>
        </w:tc>
        <w:tc>
          <w:tcPr>
            <w:tcW w:type="dxa" w:w="1440"/>
          </w:tcPr>
          <w:p>
            <w:r>
              <w:rPr>
                <w:rFonts w:ascii="Calibri" w:hAnsi="Calibri"/>
                <w:sz w:val="22"/>
              </w:rPr>
              <w:t>Award (Compensation Grant)</w:t>
            </w:r>
          </w:p>
        </w:tc>
        <w:tc>
          <w:tcPr>
            <w:tcW w:type="dxa" w:w="1440"/>
          </w:tcPr>
          <w:p>
            <w:r>
              <w:rPr>
                <w:rFonts w:ascii="Calibri" w:hAnsi="Calibri"/>
                <w:sz w:val="22"/>
              </w:rPr>
              <w:t>42,118 shares</w:t>
            </w:r>
          </w:p>
        </w:tc>
        <w:tc>
          <w:tcPr>
            <w:tcW w:type="dxa" w:w="1440"/>
          </w:tcPr>
          <w:p>
            <w:r>
              <w:rPr>
                <w:rFonts w:ascii="Calibri" w:hAnsi="Calibri"/>
                <w:sz w:val="22"/>
              </w:rPr>
              <w:t>Jun 17, 2026</w:t>
            </w:r>
          </w:p>
        </w:tc>
        <w:tc>
          <w:tcPr>
            <w:tcW w:type="dxa" w:w="1440"/>
          </w:tcPr>
          <w:p>
            <w:r>
              <w:rPr>
                <w:rFonts w:ascii="Calibri" w:hAnsi="Calibri"/>
                <w:sz w:val="22"/>
              </w:rPr>
              <w:t>Compensation-related award tied to COO appointment; $4M RSU grant vesting in 3 years; no directional signal</w:t>
            </w:r>
          </w:p>
        </w:tc>
      </w:tr>
      <w:tr>
        <w:tc>
          <w:tcPr>
            <w:tcW w:type="dxa" w:w="1440"/>
          </w:tcPr>
          <w:p>
            <w:r>
              <w:rPr>
                <w:rFonts w:ascii="Calibri" w:hAnsi="Calibri"/>
                <w:sz w:val="22"/>
              </w:rPr>
              <w:t>Angela C. Hilt</w:t>
            </w:r>
          </w:p>
        </w:tc>
        <w:tc>
          <w:tcPr>
            <w:tcW w:type="dxa" w:w="1440"/>
          </w:tcPr>
          <w:p>
            <w:r>
              <w:rPr>
                <w:rFonts w:ascii="Calibri" w:hAnsi="Calibri"/>
                <w:sz w:val="22"/>
              </w:rPr>
              <w:t>EVP — Chief Legal Officer</w:t>
            </w:r>
          </w:p>
        </w:tc>
        <w:tc>
          <w:tcPr>
            <w:tcW w:type="dxa" w:w="1440"/>
          </w:tcPr>
          <w:p>
            <w:r>
              <w:rPr>
                <w:rFonts w:ascii="Calibri" w:hAnsi="Calibri"/>
                <w:sz w:val="22"/>
              </w:rPr>
              <w:t>Award (Compensation Grant)</w:t>
            </w:r>
          </w:p>
        </w:tc>
        <w:tc>
          <w:tcPr>
            <w:tcW w:type="dxa" w:w="1440"/>
          </w:tcPr>
          <w:p>
            <w:r>
              <w:rPr>
                <w:rFonts w:ascii="Calibri" w:hAnsi="Calibri"/>
                <w:sz w:val="22"/>
              </w:rPr>
              <w:t>26,324 shares</w:t>
            </w:r>
          </w:p>
        </w:tc>
        <w:tc>
          <w:tcPr>
            <w:tcW w:type="dxa" w:w="1440"/>
          </w:tcPr>
          <w:p>
            <w:r>
              <w:rPr>
                <w:rFonts w:ascii="Calibri" w:hAnsi="Calibri"/>
                <w:sz w:val="22"/>
              </w:rPr>
              <w:t>Jun 17, 2026</w:t>
            </w:r>
          </w:p>
        </w:tc>
        <w:tc>
          <w:tcPr>
            <w:tcW w:type="dxa" w:w="1440"/>
          </w:tcPr>
          <w:p>
            <w:r>
              <w:rPr>
                <w:rFonts w:ascii="Calibri" w:hAnsi="Calibri"/>
                <w:sz w:val="22"/>
              </w:rPr>
              <w:t>Compensation-related award (code A); no directional signal</w:t>
            </w:r>
          </w:p>
        </w:tc>
      </w:tr>
      <w:tr>
        <w:tc>
          <w:tcPr>
            <w:tcW w:type="dxa" w:w="1440"/>
          </w:tcPr>
          <w:p>
            <w:r>
              <w:rPr>
                <w:rFonts w:ascii="Calibri" w:hAnsi="Calibri"/>
                <w:sz w:val="22"/>
              </w:rPr>
              <w:t>Kirsten Marriner</w:t>
            </w:r>
          </w:p>
        </w:tc>
        <w:tc>
          <w:tcPr>
            <w:tcW w:type="dxa" w:w="1440"/>
          </w:tcPr>
          <w:p>
            <w:r>
              <w:rPr>
                <w:rFonts w:ascii="Calibri" w:hAnsi="Calibri"/>
                <w:sz w:val="22"/>
              </w:rPr>
              <w:t>EVP — Chief Admin Officer</w:t>
            </w:r>
          </w:p>
        </w:tc>
        <w:tc>
          <w:tcPr>
            <w:tcW w:type="dxa" w:w="1440"/>
          </w:tcPr>
          <w:p>
            <w:r>
              <w:rPr>
                <w:rFonts w:ascii="Calibri" w:hAnsi="Calibri"/>
                <w:sz w:val="22"/>
              </w:rPr>
              <w:t>Award (Compensation Grant)</w:t>
            </w:r>
          </w:p>
        </w:tc>
        <w:tc>
          <w:tcPr>
            <w:tcW w:type="dxa" w:w="1440"/>
          </w:tcPr>
          <w:p>
            <w:r>
              <w:rPr>
                <w:rFonts w:ascii="Calibri" w:hAnsi="Calibri"/>
                <w:sz w:val="22"/>
              </w:rPr>
              <w:t>26,324 shares</w:t>
            </w:r>
          </w:p>
        </w:tc>
        <w:tc>
          <w:tcPr>
            <w:tcW w:type="dxa" w:w="1440"/>
          </w:tcPr>
          <w:p>
            <w:r>
              <w:rPr>
                <w:rFonts w:ascii="Calibri" w:hAnsi="Calibri"/>
                <w:sz w:val="22"/>
              </w:rPr>
              <w:t>Jun 17, 2026</w:t>
            </w:r>
          </w:p>
        </w:tc>
        <w:tc>
          <w:tcPr>
            <w:tcW w:type="dxa" w:w="1440"/>
          </w:tcPr>
          <w:p>
            <w:r>
              <w:rPr>
                <w:rFonts w:ascii="Calibri" w:hAnsi="Calibri"/>
                <w:sz w:val="22"/>
              </w:rPr>
              <w:t>Compensation-related award (code A); no directional signal</w:t>
            </w:r>
          </w:p>
        </w:tc>
      </w:tr>
      <w:tr>
        <w:tc>
          <w:tcPr>
            <w:tcW w:type="dxa" w:w="1440"/>
          </w:tcPr>
          <w:p>
            <w:r>
              <w:rPr>
                <w:rFonts w:ascii="Calibri" w:hAnsi="Calibri"/>
                <w:sz w:val="22"/>
              </w:rPr>
              <w:t>Nina Barton</w:t>
            </w:r>
          </w:p>
        </w:tc>
        <w:tc>
          <w:tcPr>
            <w:tcW w:type="dxa" w:w="1440"/>
          </w:tcPr>
          <w:p>
            <w:r>
              <w:rPr>
                <w:rFonts w:ascii="Calibri" w:hAnsi="Calibri"/>
                <w:sz w:val="22"/>
              </w:rPr>
              <w:t>EVP — Chief Growth &amp; Strategy Officer</w:t>
            </w:r>
          </w:p>
        </w:tc>
        <w:tc>
          <w:tcPr>
            <w:tcW w:type="dxa" w:w="1440"/>
          </w:tcPr>
          <w:p>
            <w:r>
              <w:rPr>
                <w:rFonts w:ascii="Calibri" w:hAnsi="Calibri"/>
                <w:sz w:val="22"/>
              </w:rPr>
              <w:t>Tax Withholding (Obligation-Driven Sale)</w:t>
            </w:r>
          </w:p>
        </w:tc>
        <w:tc>
          <w:tcPr>
            <w:tcW w:type="dxa" w:w="1440"/>
          </w:tcPr>
          <w:p>
            <w:r>
              <w:rPr>
                <w:rFonts w:ascii="Calibri" w:hAnsi="Calibri"/>
                <w:sz w:val="22"/>
              </w:rPr>
              <w:t>1,681 shares</w:t>
            </w:r>
          </w:p>
        </w:tc>
        <w:tc>
          <w:tcPr>
            <w:tcW w:type="dxa" w:w="1440"/>
          </w:tcPr>
          <w:p>
            <w:r>
              <w:rPr>
                <w:rFonts w:ascii="Calibri" w:hAnsi="Calibri"/>
                <w:sz w:val="22"/>
              </w:rPr>
              <w:t>Jul 22, 2026</w:t>
            </w:r>
          </w:p>
        </w:tc>
        <w:tc>
          <w:tcPr>
            <w:tcW w:type="dxa" w:w="1440"/>
          </w:tcPr>
          <w:p>
            <w:r>
              <w:rPr>
                <w:rFonts w:ascii="Calibri" w:hAnsi="Calibri"/>
                <w:sz w:val="22"/>
              </w:rPr>
              <w:t>Code F (tax withholding on vesting); obligation-driven; no directional signal</w:t>
            </w:r>
          </w:p>
        </w:tc>
      </w:tr>
      <w:tr>
        <w:tc>
          <w:tcPr>
            <w:tcW w:type="dxa" w:w="1440"/>
          </w:tcPr>
          <w:p>
            <w:r>
              <w:rPr>
                <w:rFonts w:ascii="Calibri" w:hAnsi="Calibri"/>
                <w:sz w:val="22"/>
              </w:rPr>
              <w:t>Chris Hyder</w:t>
            </w:r>
          </w:p>
        </w:tc>
        <w:tc>
          <w:tcPr>
            <w:tcW w:type="dxa" w:w="1440"/>
          </w:tcPr>
          <w:p>
            <w:r>
              <w:rPr>
                <w:rFonts w:ascii="Calibri" w:hAnsi="Calibri"/>
                <w:sz w:val="22"/>
              </w:rPr>
              <w:t>EVP — COO</w:t>
            </w:r>
          </w:p>
        </w:tc>
        <w:tc>
          <w:tcPr>
            <w:tcW w:type="dxa" w:w="1440"/>
          </w:tcPr>
          <w:p>
            <w:r>
              <w:rPr>
                <w:rFonts w:ascii="Calibri" w:hAnsi="Calibri"/>
                <w:sz w:val="22"/>
              </w:rPr>
              <w:t>Tax Withholding (Obligation-Driven Sale)</w:t>
            </w:r>
          </w:p>
        </w:tc>
        <w:tc>
          <w:tcPr>
            <w:tcW w:type="dxa" w:w="1440"/>
          </w:tcPr>
          <w:p>
            <w:r>
              <w:rPr>
                <w:rFonts w:ascii="Calibri" w:hAnsi="Calibri"/>
                <w:sz w:val="22"/>
              </w:rPr>
              <w:t>277 shares</w:t>
            </w:r>
          </w:p>
        </w:tc>
        <w:tc>
          <w:tcPr>
            <w:tcW w:type="dxa" w:w="1440"/>
          </w:tcPr>
          <w:p>
            <w:r>
              <w:rPr>
                <w:rFonts w:ascii="Calibri" w:hAnsi="Calibri"/>
                <w:sz w:val="22"/>
              </w:rPr>
              <w:t>Jul 15, 2026</w:t>
            </w:r>
          </w:p>
        </w:tc>
        <w:tc>
          <w:tcPr>
            <w:tcW w:type="dxa" w:w="1440"/>
          </w:tcPr>
          <w:p>
            <w:r>
              <w:rPr>
                <w:rFonts w:ascii="Calibri" w:hAnsi="Calibri"/>
                <w:sz w:val="22"/>
              </w:rPr>
              <w:t>Code F (tax withholding on vesting); obligation-driven; no directional signal</w:t>
            </w:r>
          </w:p>
        </w:tc>
      </w:tr>
    </w:tbl>
    <w:p>
      <w:r>
        <w:rPr>
          <w:rFonts w:ascii="Calibri" w:hAnsi="Calibri"/>
          <w:i/>
          <w:color w:val="525866"/>
          <w:sz w:val="22"/>
        </w:rPr>
        <w:t>Note: Director deferred stock unit awards (code A) to Breber, Plaines, Shattock, Weiner, and Williams in July 2026 are routine director compensation grants and carry no directional signal. Source: SEC Form 4 filings.</w:t>
      </w:r>
    </w:p>
    <w:p>
      <w:r>
        <w:br w:type="page"/>
      </w:r>
    </w:p>
    <w:p>
      <w:pPr>
        <w:pStyle w:val="Heading2"/>
      </w:pPr>
      <w:r>
        <w:rPr>
          <w:rFonts w:ascii="Calibri" w:hAnsi="Calibri"/>
          <w:b/>
          <w:color w:val="3B4259"/>
          <w:sz w:val="28"/>
        </w:rPr>
        <w:t>8. Peer Commentaries — Read-Through for Q4 FY2026</w:t>
      </w:r>
    </w:p>
    <w:p>
      <w:r>
        <w:rPr>
          <w:rFonts w:ascii="Calibri" w:hAnsi="Calibri"/>
          <w:b/>
          <w:color w:val="525866"/>
          <w:sz w:val="22"/>
        </w:rPr>
        <w:t xml:space="preserve">Key Takeaway: </w:t>
      </w:r>
      <w:r>
        <w:rPr>
          <w:rFonts w:ascii="Calibri" w:hAnsi="Calibri"/>
          <w:color w:val="525866"/>
          <w:sz w:val="22"/>
        </w:rPr>
        <w:t xml:space="preserve">Peer commentary from the last 60 days provides a </w:t>
      </w:r>
      <w:r>
        <w:rPr>
          <w:rFonts w:ascii="Calibri" w:hAnsi="Calibri"/>
          <w:b/>
          <w:color w:val="525866"/>
          <w:sz w:val="22"/>
        </w:rPr>
        <w:t>mixed but net cautious</w:t>
      </w:r>
      <w:r>
        <w:rPr>
          <w:rFonts w:ascii="Calibri" w:hAnsi="Calibri"/>
          <w:color w:val="525866"/>
          <w:sz w:val="22"/>
        </w:rPr>
        <w:t xml:space="preserve"> read-through for CLX's Q4 FY2026 print. The most important signal is from </w:t>
      </w:r>
      <w:r>
        <w:rPr>
          <w:rFonts w:ascii="Calibri" w:hAnsi="Calibri"/>
          <w:b/>
          <w:color w:val="525866"/>
          <w:sz w:val="22"/>
        </w:rPr>
        <w:t>P&amp;G (reported July 29)</w:t>
      </w:r>
      <w:r>
        <w:rPr>
          <w:rFonts w:ascii="Calibri" w:hAnsi="Calibri"/>
          <w:color w:val="525866"/>
          <w:sz w:val="22"/>
        </w:rPr>
        <w:t xml:space="preserve"> and </w:t>
      </w:r>
      <w:r>
        <w:rPr>
          <w:rFonts w:ascii="Calibri" w:hAnsi="Calibri"/>
          <w:b/>
          <w:color w:val="525866"/>
          <w:sz w:val="22"/>
        </w:rPr>
        <w:t>Church &amp; Dwight (reported July 31)</w:t>
      </w:r>
      <w:r>
        <w:rPr>
          <w:rFonts w:ascii="Calibri" w:hAnsi="Calibri"/>
          <w:color w:val="525866"/>
          <w:sz w:val="22"/>
        </w:rPr>
        <w:t xml:space="preserve"> — both reporting their quarters that overlap with CLX's Q4 FY2026 (April–June 2026). P&amp;G's commentary on Middle East energy cost headwinds (~$1B after-tax for FY27) and slowing category growth is a </w:t>
      </w:r>
      <w:r>
        <w:rPr>
          <w:rFonts w:ascii="Calibri" w:hAnsi="Calibri"/>
          <w:b/>
          <w:color w:val="525866"/>
          <w:sz w:val="22"/>
        </w:rPr>
        <w:t>negative read-through</w:t>
      </w:r>
      <w:r>
        <w:rPr>
          <w:rFonts w:ascii="Calibri" w:hAnsi="Calibri"/>
          <w:color w:val="525866"/>
          <w:sz w:val="22"/>
        </w:rPr>
        <w:t xml:space="preserve"> for CLX's gross margin and FY27 outlook; CHD's strong organic growth (+5.8%) and raised guidance is a </w:t>
      </w:r>
      <w:r>
        <w:rPr>
          <w:rFonts w:ascii="Calibri" w:hAnsi="Calibri"/>
          <w:b/>
          <w:color w:val="525866"/>
          <w:sz w:val="22"/>
        </w:rPr>
        <w:t>positive read-through</w:t>
      </w:r>
      <w:r>
        <w:rPr>
          <w:rFonts w:ascii="Calibri" w:hAnsi="Calibri"/>
          <w:color w:val="525866"/>
          <w:sz w:val="22"/>
        </w:rPr>
        <w:t xml:space="preserve"> for category health and consumer resilience. Kroger's commentary on consumer stress and value-seeking behavior is a </w:t>
      </w:r>
      <w:r>
        <w:rPr>
          <w:rFonts w:ascii="Calibri" w:hAnsi="Calibri"/>
          <w:b/>
          <w:color w:val="525866"/>
          <w:sz w:val="22"/>
        </w:rPr>
        <w:t>modest negative</w:t>
      </w:r>
      <w:r>
        <w:rPr>
          <w:rFonts w:ascii="Calibri" w:hAnsi="Calibri"/>
          <w:color w:val="525866"/>
          <w:sz w:val="22"/>
        </w:rPr>
        <w:t xml:space="preserve"> for CLX's volume trends.</w:t>
      </w:r>
    </w:p>
    <w:p>
      <w:pPr>
        <w:pStyle w:val="Heading3"/>
      </w:pPr>
      <w:r>
        <w:rPr>
          <w:rFonts w:ascii="Calibri" w:hAnsi="Calibri"/>
          <w:b/>
          <w:color w:val="3B4259"/>
          <w:sz w:val="24"/>
        </w:rPr>
        <w:t>Procter &amp; Gamble (PG) — Q4 FY2026 Earnings (Reported July 29, 2026)</w:t>
      </w:r>
    </w:p>
    <w:p>
      <w:r>
        <w:rPr>
          <w:rFonts w:ascii="Calibri" w:hAnsi="Calibri"/>
          <w:b/>
          <w:color w:val="525866"/>
          <w:sz w:val="22"/>
        </w:rPr>
        <w:t xml:space="preserve">Relevance: </w:t>
      </w:r>
      <w:r>
        <w:rPr>
          <w:rFonts w:ascii="Calibri" w:hAnsi="Calibri"/>
          <w:color w:val="525866"/>
          <w:sz w:val="22"/>
        </w:rPr>
        <w:t>PG's Q4 FY2026 covers the same April–June 2026 calendar quarter as CLX's Q4 FY2026. PG is the most direct peer read-through given overlapping categories (household cleaning, fabric care, personal care) and shared exposure to Middle East energy costs and U.S. consumer trends.</w:t>
      </w:r>
    </w:p>
    <w:p>
      <w:r>
        <w:rPr>
          <w:rFonts w:ascii="Calibri" w:hAnsi="Calibri"/>
          <w:b/>
          <w:color w:val="525866"/>
          <w:sz w:val="22"/>
        </w:rPr>
        <w:t xml:space="preserve">Read-Through Signal: </w:t>
      </w:r>
      <w:r>
        <w:rPr>
          <w:rFonts w:ascii="Calibri" w:hAnsi="Calibri"/>
          <w:b/>
          <w:color w:val="E5484D"/>
          <w:sz w:val="22"/>
        </w:rPr>
        <w:t>Negative on gross margin / FY27 cost outlook; mixed on category growth.</w:t>
      </w:r>
    </w:p>
    <w:p>
      <w:pPr>
        <w:pStyle w:val="ListBullet"/>
        <w:ind w:left="360" w:hanging="360"/>
      </w:pPr>
      <w:r>
        <w:rPr>
          <w:rFonts w:ascii="Calibri" w:hAnsi="Calibri"/>
          <w:b/>
          <w:color w:val="525866"/>
          <w:sz w:val="22"/>
        </w:rPr>
        <w:t>Middle East energy costs — major negative read-through for CLX FY27 outlook.</w:t>
      </w:r>
      <w:r>
        <w:rPr>
          <w:rFonts w:ascii="Calibri" w:hAnsi="Calibri"/>
          <w:color w:val="525866"/>
          <w:sz w:val="22"/>
        </w:rPr>
        <w:t xml:space="preserve"> PG guided a ~$1 billion after-tax cost headwind for FY27 from higher raw materials, energy, transportation, and Middle East conflict premiums, assuming ~$90/bbl Brent crude. PG noted that "most of this impact will be felt in the first half of fiscal 27, as those materials were produced when the underlying oil price was above $100 a barrel." This is a direct and significant negative read-through for CLX's FY27 gross margin outlook, which is already under pressure from the same cost drivers. PG also warned of a potential top-line impact if the conflict sustains and consumer sentiment deteriorates.</w:t>
      </w:r>
    </w:p>
    <w:p>
      <w:pPr>
        <w:pStyle w:val="ListBullet"/>
        <w:ind w:left="360" w:hanging="360"/>
      </w:pPr>
      <w:r>
        <w:rPr>
          <w:rFonts w:ascii="Calibri" w:hAnsi="Calibri"/>
          <w:b/>
          <w:color w:val="525866"/>
          <w:sz w:val="22"/>
        </w:rPr>
        <w:t>Q4 gross margin in line vs. prior year — neutral read-through.</w:t>
      </w:r>
      <w:r>
        <w:rPr>
          <w:rFonts w:ascii="Calibri" w:hAnsi="Calibri"/>
          <w:color w:val="525866"/>
          <w:sz w:val="22"/>
        </w:rPr>
        <w:t xml:space="preserve"> PG's Q4 core gross margin was "in line versus prior year" despite ~$0.06 of higher costs from energy, transportation, and material cost spikes. This suggests the cost headwind was manageable in the April–June quarter, which is consistent with CLX's guided 41–42% gross margin range for Q4 FY26 (though CLX has the additional GOJO one-time inventory step-up cost headwind).</w:t>
      </w:r>
    </w:p>
    <w:p>
      <w:pPr>
        <w:pStyle w:val="ListBullet"/>
        <w:ind w:left="360" w:hanging="360"/>
      </w:pPr>
      <w:r>
        <w:rPr>
          <w:rFonts w:ascii="Calibri" w:hAnsi="Calibri"/>
          <w:b/>
          <w:color w:val="525866"/>
          <w:sz w:val="22"/>
        </w:rPr>
        <w:t>Category growth slowing — modest negative read-through.</w:t>
      </w:r>
      <w:r>
        <w:rPr>
          <w:rFonts w:ascii="Calibri" w:hAnsi="Calibri"/>
          <w:color w:val="525866"/>
          <w:sz w:val="22"/>
        </w:rPr>
        <w:t xml:space="preserve"> PG noted that "market growth has slowed by 1 to 2 points over the past 12 to 18 months" in the U.S. and Europe. North America organic sales were down 1% in Q4. Home care, feminine care, family care, and oral care were all down for the quarter. This is consistent with CLX's own commentary that U.S. retail categories are growing at only flat to +1% vs. the historical 2–2.5% rate.</w:t>
      </w:r>
    </w:p>
    <w:p>
      <w:pPr>
        <w:pStyle w:val="ListBullet"/>
        <w:ind w:left="360" w:hanging="360"/>
      </w:pPr>
      <w:r>
        <w:rPr>
          <w:rFonts w:ascii="Calibri" w:hAnsi="Calibri"/>
          <w:b/>
          <w:color w:val="525866"/>
          <w:sz w:val="22"/>
        </w:rPr>
        <w:t>Consumer bifurcation — neutral read-through.</w:t>
      </w:r>
      <w:r>
        <w:rPr>
          <w:rFonts w:ascii="Calibri" w:hAnsi="Calibri"/>
          <w:color w:val="525866"/>
          <w:sz w:val="22"/>
        </w:rPr>
        <w:t xml:space="preserve"> PG observed that "the consumer is more discerning on value" with a bifurcation between well-off consumers (buying larger pack sizes) and more pressured consumers (seeking smaller pack sizes and promotion-driven purchases). This is consistent with CLX's own commentary on value-seeking behavior, though CLX's categories (cleaning, litter, food) skew more toward the pressured consumer segment.</w:t>
      </w:r>
    </w:p>
    <w:p>
      <w:pPr>
        <w:pStyle w:val="ListBullet"/>
        <w:ind w:left="360" w:hanging="360"/>
      </w:pPr>
      <w:r>
        <w:rPr>
          <w:rFonts w:ascii="Calibri" w:hAnsi="Calibri"/>
          <w:b/>
          <w:color w:val="525866"/>
          <w:sz w:val="22"/>
        </w:rPr>
        <w:t>Market share stabilizing — positive read-through.</w:t>
      </w:r>
      <w:r>
        <w:rPr>
          <w:rFonts w:ascii="Calibri" w:hAnsi="Calibri"/>
          <w:color w:val="525866"/>
          <w:sz w:val="22"/>
        </w:rPr>
        <w:t xml:space="preserve"> PG "stabilized global market share" in FY2026, with improvement in the second half. In the U.S., the percentage of top customers growing or holding share improved from less than 10% in H1 to ~50% in H2. This is a positive signal for the broader consumer staples competitive environment and suggests that CLX's own share recovery efforts (Glad, food) are occurring in a more stable competitive backdrop.</w:t>
      </w:r>
    </w:p>
    <w:p>
      <w:pPr>
        <w:pStyle w:val="ListBullet"/>
        <w:ind w:left="360" w:hanging="360"/>
      </w:pPr>
      <w:r>
        <w:rPr>
          <w:rFonts w:ascii="Calibri" w:hAnsi="Calibri"/>
          <w:b/>
          <w:color w:val="525866"/>
          <w:sz w:val="22"/>
        </w:rPr>
        <w:t>FY27 EPS guidance: 0–3% growth — negative read-through for sector sentiment.</w:t>
      </w:r>
      <w:r>
        <w:rPr>
          <w:rFonts w:ascii="Calibri" w:hAnsi="Calibri"/>
          <w:color w:val="525866"/>
          <w:sz w:val="22"/>
        </w:rPr>
        <w:t xml:space="preserve"> PG guided FY27 core EPS of $6.89–7.11 (0–3% growth vs. FY26), with Q1 FY27 EPS expected to be "down 5% or more" due to front-loaded energy cost headwinds. This signals a difficult near-term earnings environment for the consumer staples sector broadly, which is a negative read-through for CLX's FY27 EPS outlook.</w:t>
      </w:r>
    </w:p>
    <w:p>
      <w:pPr>
        <w:pStyle w:val="Heading3"/>
      </w:pPr>
      <w:r>
        <w:rPr>
          <w:rFonts w:ascii="Calibri" w:hAnsi="Calibri"/>
          <w:b/>
          <w:color w:val="3B4259"/>
          <w:sz w:val="24"/>
        </w:rPr>
        <w:t>Church &amp; Dwight (CHD) — Q2 FY2026 Earnings (Reported July 31, 2026)</w:t>
      </w:r>
    </w:p>
    <w:p>
      <w:r>
        <w:rPr>
          <w:rFonts w:ascii="Calibri" w:hAnsi="Calibri"/>
          <w:b/>
          <w:color w:val="525866"/>
          <w:sz w:val="22"/>
        </w:rPr>
        <w:t xml:space="preserve">Relevance: </w:t>
      </w:r>
      <w:r>
        <w:rPr>
          <w:rFonts w:ascii="Calibri" w:hAnsi="Calibri"/>
          <w:color w:val="525866"/>
          <w:sz w:val="22"/>
        </w:rPr>
        <w:t>CHD's Q2 FY2026 covers the same April–June 2026 calendar quarter as CLX's Q4 FY2026. CHD is a direct peer in household cleaning (Arm &amp; Hammer laundry, cat litter) and personal care, with significant overlap in CLX's core categories.</w:t>
      </w:r>
    </w:p>
    <w:p>
      <w:r>
        <w:rPr>
          <w:rFonts w:ascii="Calibri" w:hAnsi="Calibri"/>
          <w:b/>
          <w:color w:val="525866"/>
          <w:sz w:val="22"/>
        </w:rPr>
        <w:t xml:space="preserve">Read-Through Signal: </w:t>
      </w:r>
      <w:r>
        <w:rPr>
          <w:rFonts w:ascii="Calibri" w:hAnsi="Calibri"/>
          <w:b/>
          <w:color w:val="30A46C"/>
          <w:sz w:val="22"/>
        </w:rPr>
        <w:t>Positive on category health and consumer resilience; mixed on competitive intensity.</w:t>
      </w:r>
    </w:p>
    <w:p>
      <w:pPr>
        <w:pStyle w:val="ListBullet"/>
        <w:ind w:left="360" w:hanging="360"/>
      </w:pPr>
      <w:r>
        <w:rPr>
          <w:rFonts w:ascii="Calibri" w:hAnsi="Calibri"/>
          <w:b/>
          <w:color w:val="525866"/>
          <w:sz w:val="22"/>
        </w:rPr>
        <w:t>Strong organic growth (+5.8%) — positive read-through for category health.</w:t>
      </w:r>
      <w:r>
        <w:rPr>
          <w:rFonts w:ascii="Calibri" w:hAnsi="Calibri"/>
          <w:color w:val="525866"/>
          <w:sz w:val="22"/>
        </w:rPr>
        <w:t xml:space="preserve"> CHD delivered organic sales growth of 5.8% in Q2 FY2026, well above its 3% outlook, driven by volume growth of 4.3% and positive price/mix of 1.5%. Growth was broad-based across all three divisions. Category consumption across CHD's largest categories grew at 2.7%, exceeding the company's ~2% expectation. This is a meaningfully positive read-through for CLX's category environment — if categories are growing at 2.7% for CHD, CLX's "about flat" organic growth guidance implies continued share loss rather than category weakness.</w:t>
      </w:r>
    </w:p>
    <w:p>
      <w:pPr>
        <w:pStyle w:val="ListBullet"/>
        <w:ind w:left="360" w:hanging="360"/>
      </w:pPr>
      <w:r>
        <w:rPr>
          <w:rFonts w:ascii="Calibri" w:hAnsi="Calibri"/>
          <w:b/>
          <w:color w:val="525866"/>
          <w:sz w:val="22"/>
        </w:rPr>
        <w:t>Cat litter category — direct and important read-through for CLX's Fresh Step.</w:t>
      </w:r>
      <w:r>
        <w:rPr>
          <w:rFonts w:ascii="Calibri" w:hAnsi="Calibri"/>
          <w:color w:val="525866"/>
          <w:sz w:val="22"/>
        </w:rPr>
        <w:t xml:space="preserve"> Arm &amp; Hammer cat litter consumption grew a robust 7.5% and share increased 0.8 points to 24.5% in Q2. Category promotional levels declined slightly but remain historically high. CHD launched Dual Defence with Microban Clumping litter, which is performing very well. This is a direct negative read-through for CLX's Fresh Step litter relaunch — CHD is gaining share in a growing category while CLX is in the middle of a disruptive UPC conversion and shelf reset. The litter category appears healthy, which means CLX's challenges are execution-driven rather than category-driven.</w:t>
      </w:r>
    </w:p>
    <w:p>
      <w:pPr>
        <w:pStyle w:val="ListBullet"/>
        <w:ind w:left="360" w:hanging="360"/>
      </w:pPr>
      <w:r>
        <w:rPr>
          <w:rFonts w:ascii="Calibri" w:hAnsi="Calibri"/>
          <w:b/>
          <w:color w:val="525866"/>
          <w:sz w:val="22"/>
        </w:rPr>
        <w:t>Laundry competitive intensity elevated — neutral to negative read-through.</w:t>
      </w:r>
      <w:r>
        <w:rPr>
          <w:rFonts w:ascii="Calibri" w:hAnsi="Calibri"/>
          <w:color w:val="525866"/>
          <w:sz w:val="22"/>
        </w:rPr>
        <w:t xml:space="preserve"> CHD noted that Henkel increased promotion by 1,100 basis points and P&amp;G increased promotion by ~200 basis points in laundry, while CHD reduced promotion by 300 basis points and still maintained share. This elevated promotional environment in laundry is a modest negative read-through for CLX's Clorox cleaning and disinfecting categories, which compete in a similarly promotional environment.</w:t>
      </w:r>
    </w:p>
    <w:p>
      <w:pPr>
        <w:pStyle w:val="ListBullet"/>
        <w:ind w:left="360" w:hanging="360"/>
      </w:pPr>
      <w:r>
        <w:rPr>
          <w:rFonts w:ascii="Calibri" w:hAnsi="Calibri"/>
          <w:b/>
          <w:color w:val="525866"/>
          <w:sz w:val="22"/>
        </w:rPr>
        <w:t>Middle East energy costs — neutral read-through (CHD mitigated fully).</w:t>
      </w:r>
      <w:r>
        <w:rPr>
          <w:rFonts w:ascii="Calibri" w:hAnsi="Calibri"/>
          <w:color w:val="525866"/>
          <w:sz w:val="22"/>
        </w:rPr>
        <w:t xml:space="preserve"> CHD quantified ~$30M of Middle East-derived inflation for FY2026 (raw materials, transportation, premiums), assuming ~$90/bbl crude. Critically, CHD's teams "acted to fully mitigate this headwind this year through increased productivity." This is a neutral-to-positive read-through for CLX — it confirms the cost headwind is real and material, but also demonstrates that productivity acceleration can offset it. CLX has guided the headwind at $20–25M for Q4 alone, suggesting a larger full-year impact than CHD.</w:t>
      </w:r>
    </w:p>
    <w:p>
      <w:pPr>
        <w:pStyle w:val="ListBullet"/>
        <w:ind w:left="360" w:hanging="360"/>
      </w:pPr>
      <w:r>
        <w:rPr>
          <w:rFonts w:ascii="Calibri" w:hAnsi="Calibri"/>
          <w:b/>
          <w:color w:val="525866"/>
          <w:sz w:val="22"/>
        </w:rPr>
        <w:t>Raised full-year guidance — positive read-through for sector sentiment.</w:t>
      </w:r>
      <w:r>
        <w:rPr>
          <w:rFonts w:ascii="Calibri" w:hAnsi="Calibri"/>
          <w:color w:val="525866"/>
          <w:sz w:val="22"/>
        </w:rPr>
        <w:t xml:space="preserve"> CHD raised its FY2026 organic sales outlook to 4–5% (from 3–4%), adjusted gross margin expansion to 100–120bps, and adjusted EPS growth to 6–8% (from 5–8%). This is a positive read-through for the consumer staples sector broadly and suggests that well-executing companies can navigate the current environment. However, CLX's situation is more complex given the GOJO integration, CEO transition, and ERP lap distortions.</w:t>
      </w:r>
    </w:p>
    <w:p>
      <w:pPr>
        <w:pStyle w:val="ListBullet"/>
        <w:ind w:left="360" w:hanging="360"/>
      </w:pPr>
      <w:r>
        <w:rPr>
          <w:rFonts w:ascii="Calibri" w:hAnsi="Calibri"/>
          <w:b/>
          <w:color w:val="525866"/>
          <w:sz w:val="22"/>
        </w:rPr>
        <w:t>Consumer spending resilient — positive read-through.</w:t>
      </w:r>
      <w:r>
        <w:rPr>
          <w:rFonts w:ascii="Calibri" w:hAnsi="Calibri"/>
          <w:color w:val="525866"/>
          <w:sz w:val="22"/>
        </w:rPr>
        <w:t xml:space="preserve"> CHD CEO Rick Decker stated that "consumer spending remains resilient" and that the company's brands are performing exceptionally well. This is a positive read-through for CLX's consumer environment, though CLX's own commentary has been more cautious ("consumer under stress," value-seeking behavior, low-income consumer pressure).</w:t>
      </w:r>
    </w:p>
    <w:p>
      <w:pPr>
        <w:pStyle w:val="Heading3"/>
      </w:pPr>
      <w:r>
        <w:rPr>
          <w:rFonts w:ascii="Calibri" w:hAnsi="Calibri"/>
          <w:b/>
          <w:color w:val="3B4259"/>
          <w:sz w:val="24"/>
        </w:rPr>
        <w:t>Kroger (KR) — Q1 FY2026 Earnings (Reported June 18, 2026)</w:t>
      </w:r>
    </w:p>
    <w:p>
      <w:r>
        <w:rPr>
          <w:rFonts w:ascii="Calibri" w:hAnsi="Calibri"/>
          <w:b/>
          <w:color w:val="525866"/>
          <w:sz w:val="22"/>
        </w:rPr>
        <w:t xml:space="preserve">Relevance: </w:t>
      </w:r>
      <w:r>
        <w:rPr>
          <w:rFonts w:ascii="Calibri" w:hAnsi="Calibri"/>
          <w:color w:val="525866"/>
          <w:sz w:val="22"/>
        </w:rPr>
        <w:t>Kroger is CLX's largest retail channel partner and a key read-through for consumer behavior, category trends, and private label competition in the grocery channel. KR's Q1 FY2026 covers the February–May 2026 period, overlapping with the early part of CLX's Q4 FY2026.</w:t>
      </w:r>
    </w:p>
    <w:p>
      <w:r>
        <w:rPr>
          <w:rFonts w:ascii="Calibri" w:hAnsi="Calibri"/>
          <w:b/>
          <w:color w:val="525866"/>
          <w:sz w:val="22"/>
        </w:rPr>
        <w:t xml:space="preserve">Read-Through Signal: </w:t>
      </w:r>
      <w:r>
        <w:rPr>
          <w:rFonts w:ascii="Calibri" w:hAnsi="Calibri"/>
          <w:b/>
          <w:color w:val="E5484D"/>
          <w:sz w:val="22"/>
        </w:rPr>
        <w:t>Negative on consumer health and value-seeking behavior; neutral on private label competition.</w:t>
      </w:r>
    </w:p>
    <w:p>
      <w:pPr>
        <w:pStyle w:val="ListBullet"/>
        <w:ind w:left="360" w:hanging="360"/>
      </w:pPr>
      <w:r>
        <w:rPr>
          <w:rFonts w:ascii="Calibri" w:hAnsi="Calibri"/>
          <w:b/>
          <w:color w:val="525866"/>
          <w:sz w:val="22"/>
        </w:rPr>
        <w:t>Consumer under significant pressure — negative read-through.</w:t>
      </w:r>
      <w:r>
        <w:rPr>
          <w:rFonts w:ascii="Calibri" w:hAnsi="Calibri"/>
          <w:color w:val="525866"/>
          <w:sz w:val="22"/>
        </w:rPr>
        <w:t xml:space="preserve"> Kroger noted that its customer base is "under significant pressure" with high gas prices and reduced SNAP benefits squeezing budgets. Food-at-home growth decelerated by 100 basis points vs. the prior quarter. Customers are "becoming more deliberate with their spending" and making "too many promotional trips and not enough full baskets." This is a direct negative read-through for CLX's volume trends, particularly in food (Hidden Valley) and household categories where consumers are trading down or reducing purchase frequency.</w:t>
      </w:r>
    </w:p>
    <w:p>
      <w:pPr>
        <w:pStyle w:val="ListBullet"/>
        <w:ind w:left="360" w:hanging="360"/>
      </w:pPr>
      <w:r>
        <w:rPr>
          <w:rFonts w:ascii="Calibri" w:hAnsi="Calibri"/>
          <w:b/>
          <w:color w:val="525866"/>
          <w:sz w:val="22"/>
        </w:rPr>
        <w:t>Value-seeking behavior intensifying — negative read-through.</w:t>
      </w:r>
      <w:r>
        <w:rPr>
          <w:rFonts w:ascii="Calibri" w:hAnsi="Calibri"/>
          <w:color w:val="525866"/>
          <w:sz w:val="22"/>
        </w:rPr>
        <w:t xml:space="preserve"> Kroger observed that when fuel prices are elevated, basket sizes and items purchased tend to trade down. Fuel reward redemptions were up 10% vs. prior year. Kroger is investing in price competitiveness to drive traffic. This is consistent with CLX's own commentary on value-seeking behavior and the need to maintain value superiority, but suggests the consumer environment may be more challenging than CLX's "about flat" organic growth guidance implies.</w:t>
      </w:r>
    </w:p>
    <w:p>
      <w:pPr>
        <w:pStyle w:val="ListBullet"/>
        <w:ind w:left="360" w:hanging="360"/>
      </w:pPr>
      <w:r>
        <w:rPr>
          <w:rFonts w:ascii="Calibri" w:hAnsi="Calibri"/>
          <w:b/>
          <w:color w:val="525866"/>
          <w:sz w:val="22"/>
        </w:rPr>
        <w:t>Private label gaining share — neutral read-through for CLX.</w:t>
      </w:r>
      <w:r>
        <w:rPr>
          <w:rFonts w:ascii="Calibri" w:hAnsi="Calibri"/>
          <w:color w:val="525866"/>
          <w:sz w:val="22"/>
        </w:rPr>
        <w:t xml:space="preserve"> Kroger's own brands gained share and outpaced national brands by 175 basis points in Q1. However, Kroger noted that "many customers still desire national brands," and CLX's own commentary has indicated that private label shares have been broadly stable across most of its categories. The private label threat appears more acute in commodity-like categories (paper, basic cleaning) than in CLX's branded categories.</w:t>
      </w:r>
    </w:p>
    <w:p>
      <w:pPr>
        <w:pStyle w:val="ListBullet"/>
        <w:ind w:left="360" w:hanging="360"/>
      </w:pPr>
      <w:r>
        <w:rPr>
          <w:rFonts w:ascii="Calibri" w:hAnsi="Calibri"/>
          <w:b/>
          <w:color w:val="525866"/>
          <w:sz w:val="22"/>
        </w:rPr>
        <w:t>Middle East energy costs impacting transportation — confirms CLX's cost headwind.</w:t>
      </w:r>
      <w:r>
        <w:rPr>
          <w:rFonts w:ascii="Calibri" w:hAnsi="Calibri"/>
          <w:color w:val="525866"/>
          <w:sz w:val="22"/>
        </w:rPr>
        <w:t xml:space="preserve"> Kroger experienced "unexpected pressure in transportation from higher diesel costs" in Q1, resulting in a 15 basis point gross margin headwind. This confirms that the Middle East energy cost impact is real and broad-based across the supply chain, consistent with CLX's $20–25M Q4 headwind guidance.</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Overlapping Quarter</w:t>
            </w:r>
          </w:p>
        </w:tc>
        <w:tc>
          <w:tcPr>
            <w:tcW w:type="dxa" w:w="1728"/>
            <w:shd w:val="clear" w:color="auto" w:fill="3B4259"/>
          </w:tcPr>
          <w:p>
            <w:r>
              <w:rPr>
                <w:rFonts w:ascii="Calibri" w:hAnsi="Calibri"/>
                <w:b/>
                <w:color w:val="FFFFFF"/>
                <w:sz w:val="22"/>
              </w:rPr>
              <w:t>Key Read-Through Theme</w:t>
            </w:r>
          </w:p>
        </w:tc>
        <w:tc>
          <w:tcPr>
            <w:tcW w:type="dxa" w:w="1728"/>
            <w:shd w:val="clear" w:color="auto" w:fill="3B4259"/>
          </w:tcPr>
          <w:p>
            <w:r>
              <w:rPr>
                <w:rFonts w:ascii="Calibri" w:hAnsi="Calibri"/>
                <w:b/>
                <w:color w:val="FFFFFF"/>
                <w:sz w:val="22"/>
              </w:rPr>
              <w:t>Signal for CLX</w:t>
            </w:r>
          </w:p>
        </w:tc>
      </w:tr>
      <w:tr>
        <w:tc>
          <w:tcPr>
            <w:tcW w:type="dxa" w:w="1728"/>
          </w:tcPr>
          <w:p>
            <w:r>
              <w:rPr>
                <w:rFonts w:ascii="Calibri" w:hAnsi="Calibri"/>
                <w:sz w:val="22"/>
              </w:rPr>
              <w:t>Procter &amp; Gamble (PG)</w:t>
            </w:r>
          </w:p>
        </w:tc>
        <w:tc>
          <w:tcPr>
            <w:tcW w:type="dxa" w:w="1728"/>
          </w:tcPr>
          <w:p>
            <w:r>
              <w:rPr>
                <w:rFonts w:ascii="Calibri" w:hAnsi="Calibri"/>
                <w:sz w:val="22"/>
              </w:rPr>
              <w:t>Jul 29, 2026</w:t>
            </w:r>
          </w:p>
        </w:tc>
        <w:tc>
          <w:tcPr>
            <w:tcW w:type="dxa" w:w="1728"/>
          </w:tcPr>
          <w:p>
            <w:r>
              <w:rPr>
                <w:rFonts w:ascii="Calibri" w:hAnsi="Calibri"/>
                <w:sz w:val="22"/>
              </w:rPr>
              <w:t>Apr–Jun 2026 (same as CLX Q4 FY26)</w:t>
            </w:r>
          </w:p>
        </w:tc>
        <w:tc>
          <w:tcPr>
            <w:tcW w:type="dxa" w:w="1728"/>
          </w:tcPr>
          <w:p>
            <w:r>
              <w:rPr>
                <w:rFonts w:ascii="Calibri" w:hAnsi="Calibri"/>
                <w:sz w:val="22"/>
              </w:rPr>
              <w:t>~$1B after-tax FY27 energy cost headwind; category growth slowing 1–2pts; Q4 gross margin in line; market share stabilizing</w:t>
            </w:r>
          </w:p>
        </w:tc>
        <w:tc>
          <w:tcPr>
            <w:tcW w:type="dxa" w:w="1728"/>
          </w:tcPr>
          <w:p>
            <w:r>
              <w:rPr>
                <w:rFonts w:ascii="Calibri" w:hAnsi="Calibri"/>
                <w:b/>
                <w:color w:val="E5484D"/>
                <w:sz w:val="22"/>
              </w:rPr>
              <w:t>Negative on FY27 cost outlook; neutral on Q4 gross margin; positive on competitive environment</w:t>
            </w:r>
          </w:p>
        </w:tc>
      </w:tr>
      <w:tr>
        <w:tc>
          <w:tcPr>
            <w:tcW w:type="dxa" w:w="1728"/>
          </w:tcPr>
          <w:p>
            <w:r>
              <w:rPr>
                <w:rFonts w:ascii="Calibri" w:hAnsi="Calibri"/>
                <w:sz w:val="22"/>
              </w:rPr>
              <w:t>Church &amp; Dwight (CHD)</w:t>
            </w:r>
          </w:p>
        </w:tc>
        <w:tc>
          <w:tcPr>
            <w:tcW w:type="dxa" w:w="1728"/>
          </w:tcPr>
          <w:p>
            <w:r>
              <w:rPr>
                <w:rFonts w:ascii="Calibri" w:hAnsi="Calibri"/>
                <w:sz w:val="22"/>
              </w:rPr>
              <w:t>Jul 31, 2026</w:t>
            </w:r>
          </w:p>
        </w:tc>
        <w:tc>
          <w:tcPr>
            <w:tcW w:type="dxa" w:w="1728"/>
          </w:tcPr>
          <w:p>
            <w:r>
              <w:rPr>
                <w:rFonts w:ascii="Calibri" w:hAnsi="Calibri"/>
                <w:sz w:val="22"/>
              </w:rPr>
              <w:t>Apr–Jun 2026 (same as CLX Q4 FY26)</w:t>
            </w:r>
          </w:p>
        </w:tc>
        <w:tc>
          <w:tcPr>
            <w:tcW w:type="dxa" w:w="1728"/>
          </w:tcPr>
          <w:p>
            <w:r>
              <w:rPr>
                <w:rFonts w:ascii="Calibri" w:hAnsi="Calibri"/>
                <w:sz w:val="22"/>
              </w:rPr>
              <w:t>Organic growth +5.8% (well above 3% guide); cat litter share +0.8pts to 24.5%; raised FY26 guidance; $30M Middle East cost headwind fully mitigated</w:t>
            </w:r>
          </w:p>
        </w:tc>
        <w:tc>
          <w:tcPr>
            <w:tcW w:type="dxa" w:w="1728"/>
          </w:tcPr>
          <w:p>
            <w:r>
              <w:rPr>
                <w:rFonts w:ascii="Calibri" w:hAnsi="Calibri"/>
                <w:b/>
                <w:color w:val="30A46C"/>
                <w:sz w:val="22"/>
              </w:rPr>
              <w:t>Positive on category health; negative on litter share (CHD gaining at CLX's expense); positive on sector sentiment</w:t>
            </w:r>
          </w:p>
        </w:tc>
      </w:tr>
      <w:tr>
        <w:tc>
          <w:tcPr>
            <w:tcW w:type="dxa" w:w="1728"/>
          </w:tcPr>
          <w:p>
            <w:r>
              <w:rPr>
                <w:rFonts w:ascii="Calibri" w:hAnsi="Calibri"/>
                <w:sz w:val="22"/>
              </w:rPr>
              <w:t>Kroger (KR)</w:t>
            </w:r>
          </w:p>
        </w:tc>
        <w:tc>
          <w:tcPr>
            <w:tcW w:type="dxa" w:w="1728"/>
          </w:tcPr>
          <w:p>
            <w:r>
              <w:rPr>
                <w:rFonts w:ascii="Calibri" w:hAnsi="Calibri"/>
                <w:sz w:val="22"/>
              </w:rPr>
              <w:t>Jun 18, 2026</w:t>
            </w:r>
          </w:p>
        </w:tc>
        <w:tc>
          <w:tcPr>
            <w:tcW w:type="dxa" w:w="1728"/>
          </w:tcPr>
          <w:p>
            <w:r>
              <w:rPr>
                <w:rFonts w:ascii="Calibri" w:hAnsi="Calibri"/>
                <w:sz w:val="22"/>
              </w:rPr>
              <w:t>Feb–May 2026 (partial overlap with CLX Q4 FY26)</w:t>
            </w:r>
          </w:p>
        </w:tc>
        <w:tc>
          <w:tcPr>
            <w:tcW w:type="dxa" w:w="1728"/>
          </w:tcPr>
          <w:p>
            <w:r>
              <w:rPr>
                <w:rFonts w:ascii="Calibri" w:hAnsi="Calibri"/>
                <w:sz w:val="22"/>
              </w:rPr>
              <w:t>Consumer under significant pressure; food-at-home growth decelerating; private label gaining 175bps vs. national brands; Middle East energy costs impacting transportation</w:t>
            </w:r>
          </w:p>
        </w:tc>
        <w:tc>
          <w:tcPr>
            <w:tcW w:type="dxa" w:w="1728"/>
          </w:tcPr>
          <w:p>
            <w:r>
              <w:rPr>
                <w:rFonts w:ascii="Calibri" w:hAnsi="Calibri"/>
                <w:b/>
                <w:color w:val="E5484D"/>
                <w:sz w:val="22"/>
              </w:rPr>
              <w:t>Negative on consumer health and volume trends; neutral on private label competition in CLX's specific categories</w:t>
            </w:r>
          </w:p>
        </w:tc>
      </w:tr>
    </w:tbl>
    <w:p>
      <w:r>
        <w:rPr>
          <w:rFonts w:ascii="Calibri" w:hAnsi="Calibri"/>
          <w:b/>
          <w:color w:val="525866"/>
          <w:sz w:val="22"/>
        </w:rPr>
        <w:t xml:space="preserve">Net peer read-through assessment: </w:t>
      </w:r>
      <w:r>
        <w:rPr>
          <w:rFonts w:ascii="Calibri" w:hAnsi="Calibri"/>
          <w:color w:val="525866"/>
          <w:sz w:val="22"/>
        </w:rPr>
        <w:t xml:space="preserve">The peer commentary is </w:t>
      </w:r>
      <w:r>
        <w:rPr>
          <w:rFonts w:ascii="Calibri" w:hAnsi="Calibri"/>
          <w:b/>
          <w:color w:val="525866"/>
          <w:sz w:val="22"/>
        </w:rPr>
        <w:t>net cautious for CLX's Q4 FY2026 print</w:t>
      </w:r>
      <w:r>
        <w:rPr>
          <w:rFonts w:ascii="Calibri" w:hAnsi="Calibri"/>
          <w:color w:val="525866"/>
          <w:sz w:val="22"/>
        </w:rPr>
        <w:t xml:space="preserve"> but does not suggest a major negative surprise. The most important takeaway is that the Middle East energy cost headwind is real, broad-based, and likely to persist into FY2027 — both PG and CHD have quantified material impacts, and CLX's own $20–25M Q4 guidance is consistent with this. The positive surprise from CHD's strong organic growth (+5.8%) and raised guidance suggests that category health is better than feared, but CLX's execution challenges (litter relaunch, ERP lap) mean it is unlikely to participate in the same upside. The most actionable read-through is from CHD's cat litter data: Arm &amp; Hammer gained 0.8 share points to 24.5% in a growing category, which directly implies continued share loss for CLX's Fresh Step during the Q4 relaunch transition period.</w:t>
      </w:r>
    </w:p>
    <w:p>
      <w:r>
        <w:rPr>
          <w:rFonts w:ascii="Calibri" w:hAnsi="Calibri"/>
          <w:i/>
          <w:color w:val="525866"/>
          <w:sz w:val="22"/>
        </w:rPr>
        <w:t xml:space="preserve">Disclaimer: </w:t>
      </w:r>
      <w:r>
        <w:rPr>
          <w:rFonts w:ascii="Calibri" w:hAnsi="Calibri"/>
          <w:i/>
          <w:color w:val="525866"/>
          <w:sz w:val="22"/>
        </w:rPr>
        <w:t>This earnings preview is prepared for informational purposes only. All financial data sourced from Visible Alpha consensus and actuals, SEC filings, company transcripts, and public market data. Consensus estimates are as of August 2, 2026. Past beat/miss history is not indicative of future results.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