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Clorox Company (CLX)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Clorox Company</w:t>
            </w:r>
          </w:p>
        </w:tc>
      </w:tr>
      <w:tr>
        <w:tc>
          <w:tcPr>
            <w:tcW w:type="dxa" w:w="4320"/>
          </w:tcPr>
          <w:p>
            <w:r>
              <w:rPr>
                <w:rFonts w:ascii="Calibri" w:hAnsi="Calibri"/>
                <w:b/>
                <w:sz w:val="22"/>
              </w:rPr>
              <w:t>Ticker</w:t>
            </w:r>
          </w:p>
        </w:tc>
        <w:tc>
          <w:tcPr>
            <w:tcW w:type="dxa" w:w="4320"/>
          </w:tcPr>
          <w:p>
            <w:r>
              <w:rPr>
                <w:rFonts w:ascii="Calibri" w:hAnsi="Calibri"/>
                <w:sz w:val="22"/>
              </w:rPr>
              <w:t>CLX (NYSE)</w:t>
            </w:r>
          </w:p>
        </w:tc>
      </w:tr>
      <w:tr>
        <w:tc>
          <w:tcPr>
            <w:tcW w:type="dxa" w:w="4320"/>
          </w:tcPr>
          <w:p>
            <w:r>
              <w:rPr>
                <w:rFonts w:ascii="Calibri" w:hAnsi="Calibri"/>
                <w:b/>
                <w:sz w:val="22"/>
              </w:rPr>
              <w:t>Upcoming Earnings Date</w:t>
            </w:r>
          </w:p>
        </w:tc>
        <w:tc>
          <w:tcPr>
            <w:tcW w:type="dxa" w:w="4320"/>
          </w:tcPr>
          <w:p>
            <w:r>
              <w:rPr>
                <w:rFonts w:ascii="Calibri" w:hAnsi="Calibri"/>
                <w:sz w:val="22"/>
              </w:rPr>
              <w:t>August 3, 2026 (after market close, 5:00 PM ET webcast)</w:t>
            </w:r>
          </w:p>
        </w:tc>
      </w:tr>
      <w:tr>
        <w:tc>
          <w:tcPr>
            <w:tcW w:type="dxa" w:w="4320"/>
          </w:tcPr>
          <w:p>
            <w:r>
              <w:rPr>
                <w:rFonts w:ascii="Calibri" w:hAnsi="Calibri"/>
                <w:b/>
                <w:sz w:val="22"/>
              </w:rPr>
              <w:t>Reporting Period</w:t>
            </w:r>
          </w:p>
        </w:tc>
        <w:tc>
          <w:tcPr>
            <w:tcW w:type="dxa" w:w="4320"/>
          </w:tcPr>
          <w:p>
            <w:r>
              <w:rPr>
                <w:rFonts w:ascii="Calibri" w:hAnsi="Calibri"/>
                <w:sz w:val="22"/>
              </w:rPr>
              <w:t>Q4 FY2026 (quarter ended June 30, 2026) &amp; Full-Year FY2026</w:t>
            </w:r>
          </w:p>
        </w:tc>
      </w:tr>
      <w:tr>
        <w:tc>
          <w:tcPr>
            <w:tcW w:type="dxa" w:w="4320"/>
          </w:tcPr>
          <w:p>
            <w:r>
              <w:rPr>
                <w:rFonts w:ascii="Calibri" w:hAnsi="Calibri"/>
                <w:b/>
                <w:sz w:val="22"/>
              </w:rPr>
              <w:t>Preparation Date</w:t>
            </w:r>
          </w:p>
        </w:tc>
        <w:tc>
          <w:tcPr>
            <w:tcW w:type="dxa" w:w="4320"/>
          </w:tcPr>
          <w:p>
            <w:r>
              <w:rPr>
                <w:rFonts w:ascii="Calibri" w:hAnsi="Calibri"/>
                <w:sz w:val="22"/>
              </w:rPr>
              <w:t>August 2, 2026</w:t>
            </w:r>
          </w:p>
        </w:tc>
      </w:tr>
      <w:tr>
        <w:tc>
          <w:tcPr>
            <w:tcW w:type="dxa" w:w="4320"/>
          </w:tcPr>
          <w:p>
            <w:r>
              <w:rPr>
                <w:rFonts w:ascii="Calibri" w:hAnsi="Calibri"/>
                <w:b/>
                <w:sz w:val="22"/>
              </w:rPr>
              <w:t>Last Earnings Date</w:t>
            </w:r>
          </w:p>
        </w:tc>
        <w:tc>
          <w:tcPr>
            <w:tcW w:type="dxa" w:w="4320"/>
          </w:tcPr>
          <w:p>
            <w:r>
              <w:rPr>
                <w:rFonts w:ascii="Calibri" w:hAnsi="Calibri"/>
                <w:sz w:val="22"/>
              </w:rPr>
              <w:t>April 30, 2026 (Q3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mixed-to-cautious — consensus has been revised down sharply since the Q3 print and the bar is low, but the dominant risk is whether Q4 gross margin lands within the guided −250 to −300 bps range or deteriorates further given unresolved Middle East energy cost uncertainty; the single biggest swing factor is the magnitude of GOJO inventory step-up charges and energy cost pass-through in the quarter.</w:t>
      </w:r>
    </w:p>
    <w:p>
      <w:r>
        <w:rPr>
          <w:rFonts w:ascii="Calibri" w:hAnsi="Calibri"/>
          <w:color w:val="525866"/>
          <w:sz w:val="22"/>
        </w:rPr>
        <w:t xml:space="preserve">Heading into the Q4 FY2026 print, the bar for Clorox is meaningfully lower than it was three months ago: consensus adjusted EPS for the quarter stands at ~$1.69 versus the $1.66 post-Q3 baseline, a modest upward drift, while the full-year adjusted EPS consensus of ~$5.56 sits near the midpoint of management’s guided $5.45–$5.65 range — leaving little room for incremental disappointment. </w:t>
      </w:r>
      <w:r>
        <w:rPr>
          <w:rFonts w:ascii="Calibri" w:hAnsi="Calibri"/>
          <w:b/>
          <w:color w:val="525866"/>
          <w:sz w:val="22"/>
        </w:rPr>
        <w:t>Management’s tone at the April 30 earnings call was cautious but constructive</w:t>
      </w:r>
      <w:r>
        <w:rPr>
          <w:rFonts w:ascii="Calibri" w:hAnsi="Calibri"/>
          <w:color w:val="525866"/>
          <w:sz w:val="22"/>
        </w:rPr>
        <w:t xml:space="preserve">: the ERP implementation was confirmed complete, GOJO integration was described as “going well,” and the team expressed confidence in entering FY2027 with greater momentum, though they acknowledged that inflation recovery “generally takes at least a couple of quarters.” Estimate revisions have tracked guidance closely since the Q3 cut, with the full-year EPS consensus essentially flat since early May, suggesting the Street has largely digested the guidance reset. </w:t>
      </w:r>
      <w:r>
        <w:rPr>
          <w:rFonts w:ascii="Calibri" w:hAnsi="Calibri"/>
          <w:b/>
          <w:color w:val="525866"/>
          <w:sz w:val="22"/>
        </w:rPr>
        <w:t>The stock is down ~−21% over the past 12 months and trades at ~16x NTM P/E, a ~36% discount to the household &amp; personal products peer group</w:t>
      </w:r>
      <w:r>
        <w:rPr>
          <w:rFonts w:ascii="Calibri" w:hAnsi="Calibri"/>
          <w:color w:val="525866"/>
          <w:sz w:val="22"/>
        </w:rPr>
        <w:t xml:space="preserve"> — a valuation that prices in continued execution risk but leaves room for a re-rating if Q4 delivers within guidance and FY2027 setup commentary is constructive. The key wildcard is the </w:t>
      </w:r>
      <w:r>
        <w:rPr>
          <w:rFonts w:ascii="Calibri" w:hAnsi="Calibri"/>
          <w:b/>
          <w:color w:val="525866"/>
          <w:sz w:val="22"/>
        </w:rPr>
        <w:t>Middle East energy cost trajectory</w:t>
      </w:r>
      <w:r>
        <w:rPr>
          <w:rFonts w:ascii="Calibri" w:hAnsi="Calibri"/>
          <w:color w:val="525866"/>
          <w:sz w:val="22"/>
        </w:rPr>
        <w:t>: management guided Q4 at ~$100/barrel oil (implying $20–$25M of gross margin headwind), but as of August 2, Brent has pulled back sharply toward ~$84/barrel after Trump announced a potential Iran deal framework — a development that, if sustained, could meaningfully reduce the FY2027 cost overhang and serve as a positive catalyst on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heading into Q4 — estimates were reset sharply after the April 30 guidance cut and have been stable since. </w:t>
      </w:r>
      <w:r>
        <w:rPr>
          <w:rFonts w:ascii="Calibri" w:hAnsi="Calibri"/>
          <w:b/>
          <w:color w:val="525866"/>
          <w:sz w:val="22"/>
        </w:rPr>
        <w:t>Gross margin is the bigger swing factor</w:t>
      </w:r>
      <w:r>
        <w:rPr>
          <w:rFonts w:ascii="Calibri" w:hAnsi="Calibri"/>
          <w:color w:val="525866"/>
          <w:sz w:val="22"/>
        </w:rPr>
        <w:t>: the guided −250 to −300 bps decline embeds ~150 bps of one-time GOJO inventory step-up and ~130 bps of Middle East energy costs, both of which are transitory; any upside surprise here would be the most meaningful positive read-through for FY2027.</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Quarter)</w:t>
            </w:r>
          </w:p>
        </w:tc>
        <w:tc>
          <w:tcPr>
            <w:tcW w:type="dxa" w:w="1234"/>
            <w:shd w:val="clear" w:color="auto" w:fill="3B4259"/>
          </w:tcPr>
          <w:p>
            <w:r>
              <w:rPr>
                <w:rFonts w:ascii="Calibri" w:hAnsi="Calibri"/>
                <w:b/>
                <w:color w:val="FFFFFF"/>
                <w:sz w:val="22"/>
              </w:rPr>
              <w:t>Q4 FY2025 Actual (Prior Year Period)</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($M)</w:t>
            </w:r>
          </w:p>
        </w:tc>
        <w:tc>
          <w:tcPr>
            <w:tcW w:type="dxa" w:w="1234"/>
          </w:tcPr>
          <w:p>
            <w:r>
              <w:rPr>
                <w:rFonts w:ascii="Calibri" w:hAnsi="Calibri"/>
                <w:sz w:val="22"/>
              </w:rPr>
              <w:t>$1,670M</w:t>
            </w:r>
          </w:p>
        </w:tc>
        <w:tc>
          <w:tcPr>
            <w:tcW w:type="dxa" w:w="1234"/>
          </w:tcPr>
          <w:p>
            <w:r>
              <w:rPr>
                <w:rFonts w:ascii="Calibri" w:hAnsi="Calibri"/>
                <w:sz w:val="22"/>
              </w:rPr>
              <w:t>$1,988M</w:t>
            </w:r>
          </w:p>
        </w:tc>
        <w:tc>
          <w:tcPr>
            <w:tcW w:type="dxa" w:w="1234"/>
          </w:tcPr>
          <w:p>
            <w:r>
              <w:rPr>
                <w:rFonts w:ascii="Calibri" w:hAnsi="Calibri"/>
                <w:sz w:val="22"/>
              </w:rPr>
              <w:t>$1,899M</w:t>
            </w:r>
          </w:p>
        </w:tc>
        <w:tc>
          <w:tcPr>
            <w:tcW w:type="dxa" w:w="1234"/>
          </w:tcPr>
          <w:p>
            <w:r>
              <w:rPr>
                <w:rFonts w:ascii="Calibri" w:hAnsi="Calibri"/>
                <w:b/>
                <w:color w:val="E5484D"/>
                <w:sz w:val="22"/>
              </w:rPr>
              <w:t>−4.5%</w:t>
            </w:r>
          </w:p>
        </w:tc>
        <w:tc>
          <w:tcPr>
            <w:tcW w:type="dxa" w:w="1234"/>
          </w:tcPr>
          <w:p>
            <w:r>
              <w:rPr>
                <w:rFonts w:ascii="Calibri" w:hAnsi="Calibri"/>
                <w:sz w:val="22"/>
              </w:rPr>
              <w:t>Down ~6% FY (incl. ~+3 pts GOJO)</w:t>
            </w:r>
          </w:p>
        </w:tc>
        <w:tc>
          <w:tcPr>
            <w:tcW w:type="dxa" w:w="1234"/>
          </w:tcPr>
          <w:p>
            <w:r>
              <w:rPr>
                <w:rFonts w:ascii="Calibri" w:hAnsi="Calibri"/>
                <w:sz w:val="22"/>
              </w:rPr>
              <w:t>~In line</w:t>
            </w:r>
          </w:p>
        </w:tc>
      </w:tr>
      <w:tr>
        <w:tc>
          <w:tcPr>
            <w:tcW w:type="dxa" w:w="1234"/>
          </w:tcPr>
          <w:p>
            <w:r>
              <w:rPr>
                <w:rFonts w:ascii="Calibri" w:hAnsi="Calibri"/>
                <w:sz w:val="22"/>
              </w:rPr>
              <w:t>Organic Sales Growth (%)</w:t>
            </w:r>
          </w:p>
        </w:tc>
        <w:tc>
          <w:tcPr>
            <w:tcW w:type="dxa" w:w="1234"/>
          </w:tcPr>
          <w:p>
            <w:r>
              <w:rPr>
                <w:rFonts w:ascii="Calibri" w:hAnsi="Calibri"/>
                <w:sz w:val="22"/>
              </w:rPr>
              <w:t>−1.0%</w:t>
            </w:r>
          </w:p>
        </w:tc>
        <w:tc>
          <w:tcPr>
            <w:tcW w:type="dxa" w:w="1234"/>
          </w:tcPr>
          <w:p>
            <w:r>
              <w:rPr>
                <w:rFonts w:ascii="Calibri" w:hAnsi="Calibri"/>
                <w:sz w:val="22"/>
              </w:rPr>
              <w:t>+8.0%</w:t>
            </w:r>
          </w:p>
        </w:tc>
        <w:tc>
          <w:tcPr>
            <w:tcW w:type="dxa" w:w="1234"/>
          </w:tcPr>
          <w:p>
            <w:r>
              <w:rPr>
                <w:rFonts w:ascii="Calibri" w:hAnsi="Calibri"/>
                <w:sz w:val="22"/>
              </w:rPr>
              <w:t>−13.0%</w:t>
            </w:r>
          </w:p>
        </w:tc>
        <w:tc>
          <w:tcPr>
            <w:tcW w:type="dxa" w:w="1234"/>
          </w:tcPr>
          <w:p>
            <w:r>
              <w:rPr>
                <w:rFonts w:ascii="Calibri" w:hAnsi="Calibri"/>
                <w:b/>
                <w:color w:val="E5484D"/>
                <w:sz w:val="22"/>
              </w:rPr>
              <w:t>−21 pts YoY</w:t>
            </w:r>
          </w:p>
        </w:tc>
        <w:tc>
          <w:tcPr>
            <w:tcW w:type="dxa" w:w="1234"/>
          </w:tcPr>
          <w:p>
            <w:r>
              <w:rPr>
                <w:rFonts w:ascii="Calibri" w:hAnsi="Calibri"/>
                <w:sz w:val="22"/>
              </w:rPr>
              <w:t>Down ~9% FY (incl. −7.5 pts ERP reversal)</w:t>
            </w:r>
          </w:p>
        </w:tc>
        <w:tc>
          <w:tcPr>
            <w:tcW w:type="dxa" w:w="1234"/>
          </w:tcPr>
          <w:p>
            <w:r>
              <w:rPr>
                <w:rFonts w:ascii="Calibri" w:hAnsi="Calibri"/>
                <w:sz w:val="22"/>
              </w:rPr>
              <w:t>~In line</w:t>
            </w:r>
          </w:p>
        </w:tc>
      </w:tr>
      <w:tr>
        <w:tc>
          <w:tcPr>
            <w:tcW w:type="dxa" w:w="1234"/>
          </w:tcPr>
          <w:p>
            <w:r>
              <w:rPr>
                <w:rFonts w:ascii="Calibri" w:hAnsi="Calibri"/>
                <w:sz w:val="22"/>
              </w:rPr>
              <w:t>Gross Profit ($M)</w:t>
            </w:r>
          </w:p>
        </w:tc>
        <w:tc>
          <w:tcPr>
            <w:tcW w:type="dxa" w:w="1234"/>
          </w:tcPr>
          <w:p>
            <w:r>
              <w:rPr>
                <w:rFonts w:ascii="Calibri" w:hAnsi="Calibri"/>
                <w:sz w:val="22"/>
              </w:rPr>
              <w:t>$722M (43.2% margin)</w:t>
            </w:r>
          </w:p>
        </w:tc>
        <w:tc>
          <w:tcPr>
            <w:tcW w:type="dxa" w:w="1234"/>
          </w:tcPr>
          <w:p>
            <w:r>
              <w:rPr>
                <w:rFonts w:ascii="Calibri" w:hAnsi="Calibri"/>
                <w:sz w:val="22"/>
              </w:rPr>
              <w:t>$924M (46.5% margin)</w:t>
            </w:r>
          </w:p>
        </w:tc>
        <w:tc>
          <w:tcPr>
            <w:tcW w:type="dxa" w:w="1234"/>
          </w:tcPr>
          <w:p>
            <w:r>
              <w:rPr>
                <w:rFonts w:ascii="Calibri" w:hAnsi="Calibri"/>
                <w:sz w:val="22"/>
              </w:rPr>
              <w:t>$809M (~42.6% margin)</w:t>
            </w:r>
          </w:p>
        </w:tc>
        <w:tc>
          <w:tcPr>
            <w:tcW w:type="dxa" w:w="1234"/>
          </w:tcPr>
          <w:p>
            <w:r>
              <w:rPr>
                <w:rFonts w:ascii="Calibri" w:hAnsi="Calibri"/>
                <w:b/>
                <w:color w:val="E5484D"/>
                <w:sz w:val="22"/>
              </w:rPr>
              <w:t>−12.4%</w:t>
            </w:r>
          </w:p>
        </w:tc>
        <w:tc>
          <w:tcPr>
            <w:tcW w:type="dxa" w:w="1234"/>
          </w:tcPr>
          <w:p>
            <w:r>
              <w:rPr>
                <w:rFonts w:ascii="Calibri" w:hAnsi="Calibri"/>
                <w:sz w:val="22"/>
              </w:rPr>
              <w:t>Down 250–300 bps FY</w:t>
            </w:r>
          </w:p>
        </w:tc>
        <w:tc>
          <w:tcPr>
            <w:tcW w:type="dxa" w:w="1234"/>
          </w:tcPr>
          <w:p>
            <w:r>
              <w:rPr>
                <w:rFonts w:ascii="Calibri" w:hAnsi="Calibri"/>
                <w:sz w:val="22"/>
              </w:rPr>
              <w:t>~In line with midpoint</w:t>
            </w:r>
          </w:p>
        </w:tc>
      </w:tr>
      <w:tr>
        <w:tc>
          <w:tcPr>
            <w:tcW w:type="dxa" w:w="1234"/>
          </w:tcPr>
          <w:p>
            <w:r>
              <w:rPr>
                <w:rFonts w:ascii="Calibri" w:hAnsi="Calibri"/>
                <w:sz w:val="22"/>
              </w:rPr>
              <w:t>Adj. EPS — Diluted (Operating)</w:t>
            </w:r>
          </w:p>
        </w:tc>
        <w:tc>
          <w:tcPr>
            <w:tcW w:type="dxa" w:w="1234"/>
          </w:tcPr>
          <w:p>
            <w:r>
              <w:rPr>
                <w:rFonts w:ascii="Calibri" w:hAnsi="Calibri"/>
                <w:sz w:val="22"/>
              </w:rPr>
              <w:t>$1.64</w:t>
            </w:r>
          </w:p>
        </w:tc>
        <w:tc>
          <w:tcPr>
            <w:tcW w:type="dxa" w:w="1234"/>
          </w:tcPr>
          <w:p>
            <w:r>
              <w:rPr>
                <w:rFonts w:ascii="Calibri" w:hAnsi="Calibri"/>
                <w:sz w:val="22"/>
              </w:rPr>
              <w:t>$2.87</w:t>
            </w:r>
          </w:p>
        </w:tc>
        <w:tc>
          <w:tcPr>
            <w:tcW w:type="dxa" w:w="1234"/>
          </w:tcPr>
          <w:p>
            <w:r>
              <w:rPr>
                <w:rFonts w:ascii="Calibri" w:hAnsi="Calibri"/>
                <w:sz w:val="22"/>
              </w:rPr>
              <w:t>$1.69</w:t>
            </w:r>
          </w:p>
        </w:tc>
        <w:tc>
          <w:tcPr>
            <w:tcW w:type="dxa" w:w="1234"/>
          </w:tcPr>
          <w:p>
            <w:r>
              <w:rPr>
                <w:rFonts w:ascii="Calibri" w:hAnsi="Calibri"/>
                <w:b/>
                <w:color w:val="E5484D"/>
                <w:sz w:val="22"/>
              </w:rPr>
              <w:t>−41.1%</w:t>
            </w:r>
          </w:p>
        </w:tc>
        <w:tc>
          <w:tcPr>
            <w:tcW w:type="dxa" w:w="1234"/>
          </w:tcPr>
          <w:p>
            <w:r>
              <w:rPr>
                <w:rFonts w:ascii="Calibri" w:hAnsi="Calibri"/>
                <w:sz w:val="22"/>
              </w:rPr>
              <w:t>$5.45–$5.65 FY (midpoint $5.55)</w:t>
            </w:r>
          </w:p>
        </w:tc>
        <w:tc>
          <w:tcPr>
            <w:tcW w:type="dxa" w:w="1234"/>
          </w:tcPr>
          <w:p>
            <w:r>
              <w:rPr>
                <w:rFonts w:ascii="Calibri" w:hAnsi="Calibri"/>
                <w:sz w:val="22"/>
              </w:rPr>
              <w:t>+0.2% above midpoint</w:t>
            </w:r>
          </w:p>
        </w:tc>
      </w:tr>
    </w:tbl>
    <w:p>
      <w:r>
        <w:rPr>
          <w:rFonts w:ascii="Calibri" w:hAnsi="Calibri"/>
          <w:i/>
          <w:color w:val="525866"/>
          <w:sz w:val="22"/>
        </w:rPr>
        <w:t>Source: Visible Alpha consensus and actuals data. Q4 FY2026 consensus as of August 2, 2026. Organic sales growth for Q4 FY2026 includes approximately −7.5 points of ERP-related reversal headwind (prior-year pull-forward of ~2 weeks of inventory ahead of ERP go-live). GOJO acquisition adds ~$200M to Q4 net sales (~10% for the quarter) but is excluded from organic growth. Gross margin guided down ~250–300 bps for FY2026 vs. prior year, with Q4 specifically expected to see ~500 bps of decline driven by: ~150 bps ERP lapping, ~200 bps GOJO (of which ~150 bps is one-time inventory step-up), ~100–150 bps Middle East energy costs, and ~50 bps one-time cost savings project acceleration.</w:t>
      </w:r>
    </w:p>
    <w:p>
      <w:pPr>
        <w:pStyle w:val="Heading3"/>
      </w:pPr>
      <w:r>
        <w:rPr>
          <w:rFonts w:ascii="Calibri" w:hAnsi="Calibri"/>
          <w:b/>
          <w:color w:val="3B4259"/>
          <w:sz w:val="24"/>
        </w:rPr>
        <w:t>Table 2 — Beat/Miss History: Last 8 Quarters (Top 2 KPIs: Adj. EPS &amp;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 (Mar 2026)</w:t>
            </w:r>
          </w:p>
        </w:tc>
        <w:tc>
          <w:tcPr>
            <w:tcW w:type="dxa" w:w="1440"/>
          </w:tcPr>
          <w:p>
            <w:r>
              <w:rPr>
                <w:rFonts w:ascii="Calibri" w:hAnsi="Calibri"/>
                <w:sz w:val="22"/>
              </w:rPr>
              <w:t>Adj. EPS</w:t>
            </w:r>
          </w:p>
        </w:tc>
        <w:tc>
          <w:tcPr>
            <w:tcW w:type="dxa" w:w="1440"/>
          </w:tcPr>
          <w:p>
            <w:r>
              <w:rPr>
                <w:rFonts w:ascii="Calibri" w:hAnsi="Calibri"/>
                <w:sz w:val="22"/>
              </w:rPr>
              <w:t>$1.64</w:t>
            </w:r>
          </w:p>
        </w:tc>
        <w:tc>
          <w:tcPr>
            <w:tcW w:type="dxa" w:w="1440"/>
          </w:tcPr>
          <w:p>
            <w:r>
              <w:rPr>
                <w:rFonts w:ascii="Calibri" w:hAnsi="Calibri"/>
                <w:sz w:val="22"/>
              </w:rPr>
              <w:t>$1.55</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Q3 FY2026 (Mar 2026)</w:t>
            </w:r>
          </w:p>
        </w:tc>
        <w:tc>
          <w:tcPr>
            <w:tcW w:type="dxa" w:w="1440"/>
          </w:tcPr>
          <w:p>
            <w:r>
              <w:rPr>
                <w:rFonts w:ascii="Calibri" w:hAnsi="Calibri"/>
                <w:sz w:val="22"/>
              </w:rPr>
              <w:t>Net Sales</w:t>
            </w:r>
          </w:p>
        </w:tc>
        <w:tc>
          <w:tcPr>
            <w:tcW w:type="dxa" w:w="1440"/>
          </w:tcPr>
          <w:p>
            <w:r>
              <w:rPr>
                <w:rFonts w:ascii="Calibri" w:hAnsi="Calibri"/>
                <w:sz w:val="22"/>
              </w:rPr>
              <w:t>$1,670M</w:t>
            </w:r>
          </w:p>
        </w:tc>
        <w:tc>
          <w:tcPr>
            <w:tcW w:type="dxa" w:w="1440"/>
          </w:tcPr>
          <w:p>
            <w:r>
              <w:rPr>
                <w:rFonts w:ascii="Calibri" w:hAnsi="Calibri"/>
                <w:sz w:val="22"/>
              </w:rPr>
              <w:t>$1,668M</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Q2 FY2026 (Dec 2025)</w:t>
            </w:r>
          </w:p>
        </w:tc>
        <w:tc>
          <w:tcPr>
            <w:tcW w:type="dxa" w:w="1440"/>
          </w:tcPr>
          <w:p>
            <w:r>
              <w:rPr>
                <w:rFonts w:ascii="Calibri" w:hAnsi="Calibri"/>
                <w:sz w:val="22"/>
              </w:rPr>
              <w:t>Adj. EPS</w:t>
            </w:r>
          </w:p>
        </w:tc>
        <w:tc>
          <w:tcPr>
            <w:tcW w:type="dxa" w:w="1440"/>
          </w:tcPr>
          <w:p>
            <w:r>
              <w:rPr>
                <w:rFonts w:ascii="Calibri" w:hAnsi="Calibri"/>
                <w:sz w:val="22"/>
              </w:rPr>
              <w:t>$1.39</w:t>
            </w:r>
          </w:p>
        </w:tc>
        <w:tc>
          <w:tcPr>
            <w:tcW w:type="dxa" w:w="1440"/>
          </w:tcPr>
          <w:p>
            <w:r>
              <w:rPr>
                <w:rFonts w:ascii="Calibri" w:hAnsi="Calibri"/>
                <w:sz w:val="22"/>
              </w:rPr>
              <w:t>$1.43</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Q2 FY2026 (Dec 2025)</w:t>
            </w:r>
          </w:p>
        </w:tc>
        <w:tc>
          <w:tcPr>
            <w:tcW w:type="dxa" w:w="1440"/>
          </w:tcPr>
          <w:p>
            <w:r>
              <w:rPr>
                <w:rFonts w:ascii="Calibri" w:hAnsi="Calibri"/>
                <w:sz w:val="22"/>
              </w:rPr>
              <w:t>Net Sales</w:t>
            </w:r>
          </w:p>
        </w:tc>
        <w:tc>
          <w:tcPr>
            <w:tcW w:type="dxa" w:w="1440"/>
          </w:tcPr>
          <w:p>
            <w:r>
              <w:rPr>
                <w:rFonts w:ascii="Calibri" w:hAnsi="Calibri"/>
                <w:sz w:val="22"/>
              </w:rPr>
              <w:t>$1,673M</w:t>
            </w:r>
          </w:p>
        </w:tc>
        <w:tc>
          <w:tcPr>
            <w:tcW w:type="dxa" w:w="1440"/>
          </w:tcPr>
          <w:p>
            <w:r>
              <w:rPr>
                <w:rFonts w:ascii="Calibri" w:hAnsi="Calibri"/>
                <w:sz w:val="22"/>
              </w:rPr>
              <w:t>$1,642M</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FY2026 (Sep 2025)</w:t>
            </w:r>
          </w:p>
        </w:tc>
        <w:tc>
          <w:tcPr>
            <w:tcW w:type="dxa" w:w="1440"/>
          </w:tcPr>
          <w:p>
            <w:r>
              <w:rPr>
                <w:rFonts w:ascii="Calibri" w:hAnsi="Calibri"/>
                <w:sz w:val="22"/>
              </w:rPr>
              <w:t>Adj. EPS</w:t>
            </w:r>
          </w:p>
        </w:tc>
        <w:tc>
          <w:tcPr>
            <w:tcW w:type="dxa" w:w="1440"/>
          </w:tcPr>
          <w:p>
            <w:r>
              <w:rPr>
                <w:rFonts w:ascii="Calibri" w:hAnsi="Calibri"/>
                <w:sz w:val="22"/>
              </w:rPr>
              <w:t>$0.85</w:t>
            </w:r>
          </w:p>
        </w:tc>
        <w:tc>
          <w:tcPr>
            <w:tcW w:type="dxa" w:w="1440"/>
          </w:tcPr>
          <w:p>
            <w:r>
              <w:rPr>
                <w:rFonts w:ascii="Calibri" w:hAnsi="Calibri"/>
                <w:sz w:val="22"/>
              </w:rPr>
              <w:t>$0.82</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Q1 FY2026 (Sep 2025)</w:t>
            </w:r>
          </w:p>
        </w:tc>
        <w:tc>
          <w:tcPr>
            <w:tcW w:type="dxa" w:w="1440"/>
          </w:tcPr>
          <w:p>
            <w:r>
              <w:rPr>
                <w:rFonts w:ascii="Calibri" w:hAnsi="Calibri"/>
                <w:sz w:val="22"/>
              </w:rPr>
              <w:t>Net Sales</w:t>
            </w:r>
          </w:p>
        </w:tc>
        <w:tc>
          <w:tcPr>
            <w:tcW w:type="dxa" w:w="1440"/>
          </w:tcPr>
          <w:p>
            <w:r>
              <w:rPr>
                <w:rFonts w:ascii="Calibri" w:hAnsi="Calibri"/>
                <w:sz w:val="22"/>
              </w:rPr>
              <w:t>$1,429M</w:t>
            </w:r>
          </w:p>
        </w:tc>
        <w:tc>
          <w:tcPr>
            <w:tcW w:type="dxa" w:w="1440"/>
          </w:tcPr>
          <w:p>
            <w:r>
              <w:rPr>
                <w:rFonts w:ascii="Calibri" w:hAnsi="Calibri"/>
                <w:sz w:val="22"/>
              </w:rPr>
              <w:t>$1,401M</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Q4 FY2025 (Jun 2025)</w:t>
            </w:r>
          </w:p>
        </w:tc>
        <w:tc>
          <w:tcPr>
            <w:tcW w:type="dxa" w:w="1440"/>
          </w:tcPr>
          <w:p>
            <w:r>
              <w:rPr>
                <w:rFonts w:ascii="Calibri" w:hAnsi="Calibri"/>
                <w:sz w:val="22"/>
              </w:rPr>
              <w:t>Adj. EPS</w:t>
            </w:r>
          </w:p>
        </w:tc>
        <w:tc>
          <w:tcPr>
            <w:tcW w:type="dxa" w:w="1440"/>
          </w:tcPr>
          <w:p>
            <w:r>
              <w:rPr>
                <w:rFonts w:ascii="Calibri" w:hAnsi="Calibri"/>
                <w:sz w:val="22"/>
              </w:rPr>
              <w:t>$2.87</w:t>
            </w:r>
          </w:p>
        </w:tc>
        <w:tc>
          <w:tcPr>
            <w:tcW w:type="dxa" w:w="1440"/>
          </w:tcPr>
          <w:p>
            <w:r>
              <w:rPr>
                <w:rFonts w:ascii="Calibri" w:hAnsi="Calibri"/>
                <w:sz w:val="22"/>
              </w:rPr>
              <w:t>$2.19</w:t>
            </w:r>
          </w:p>
        </w:tc>
        <w:tc>
          <w:tcPr>
            <w:tcW w:type="dxa" w:w="1440"/>
          </w:tcPr>
          <w:p>
            <w:r>
              <w:rPr>
                <w:rFonts w:ascii="Calibri" w:hAnsi="Calibri"/>
                <w:b/>
                <w:color w:val="30A46C"/>
                <w:sz w:val="22"/>
              </w:rPr>
              <w:t>+31.1%</w:t>
            </w:r>
          </w:p>
        </w:tc>
        <w:tc>
          <w:tcPr>
            <w:tcW w:type="dxa" w:w="1440"/>
          </w:tcPr>
          <w:p>
            <w:r>
              <w:rPr>
                <w:rFonts w:ascii="Calibri" w:hAnsi="Calibri"/>
                <w:sz w:val="22"/>
              </w:rPr>
              <w:t>Large Beat</w:t>
            </w:r>
          </w:p>
        </w:tc>
      </w:tr>
      <w:tr>
        <w:tc>
          <w:tcPr>
            <w:tcW w:type="dxa" w:w="1440"/>
          </w:tcPr>
          <w:p>
            <w:r>
              <w:rPr>
                <w:rFonts w:ascii="Calibri" w:hAnsi="Calibri"/>
                <w:sz w:val="22"/>
              </w:rPr>
              <w:t>Q4 FY2025 (Jun 2025)</w:t>
            </w:r>
          </w:p>
        </w:tc>
        <w:tc>
          <w:tcPr>
            <w:tcW w:type="dxa" w:w="1440"/>
          </w:tcPr>
          <w:p>
            <w:r>
              <w:rPr>
                <w:rFonts w:ascii="Calibri" w:hAnsi="Calibri"/>
                <w:sz w:val="22"/>
              </w:rPr>
              <w:t>Net Sales</w:t>
            </w:r>
          </w:p>
        </w:tc>
        <w:tc>
          <w:tcPr>
            <w:tcW w:type="dxa" w:w="1440"/>
          </w:tcPr>
          <w:p>
            <w:r>
              <w:rPr>
                <w:rFonts w:ascii="Calibri" w:hAnsi="Calibri"/>
                <w:sz w:val="22"/>
              </w:rPr>
              <w:t>$1,988M</w:t>
            </w:r>
          </w:p>
        </w:tc>
        <w:tc>
          <w:tcPr>
            <w:tcW w:type="dxa" w:w="1440"/>
          </w:tcPr>
          <w:p>
            <w:r>
              <w:rPr>
                <w:rFonts w:ascii="Calibri" w:hAnsi="Calibri"/>
                <w:sz w:val="22"/>
              </w:rPr>
              <w:t>$1,925M</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FY2025 (Mar 2025)</w:t>
            </w:r>
          </w:p>
        </w:tc>
        <w:tc>
          <w:tcPr>
            <w:tcW w:type="dxa" w:w="1440"/>
          </w:tcPr>
          <w:p>
            <w:r>
              <w:rPr>
                <w:rFonts w:ascii="Calibri" w:hAnsi="Calibri"/>
                <w:sz w:val="22"/>
              </w:rPr>
              <w:t>Adj. EPS</w:t>
            </w:r>
          </w:p>
        </w:tc>
        <w:tc>
          <w:tcPr>
            <w:tcW w:type="dxa" w:w="1440"/>
          </w:tcPr>
          <w:p>
            <w:r>
              <w:rPr>
                <w:rFonts w:ascii="Calibri" w:hAnsi="Calibri"/>
                <w:sz w:val="22"/>
              </w:rPr>
              <w:t>$1.45</w:t>
            </w:r>
          </w:p>
        </w:tc>
        <w:tc>
          <w:tcPr>
            <w:tcW w:type="dxa" w:w="1440"/>
          </w:tcPr>
          <w:p>
            <w:r>
              <w:rPr>
                <w:rFonts w:ascii="Calibri" w:hAnsi="Calibri"/>
                <w:sz w:val="22"/>
              </w:rPr>
              <w:t>$1.56</w:t>
            </w:r>
          </w:p>
        </w:tc>
        <w:tc>
          <w:tcPr>
            <w:tcW w:type="dxa" w:w="1440"/>
          </w:tcPr>
          <w:p>
            <w:r>
              <w:rPr>
                <w:rFonts w:ascii="Calibri" w:hAnsi="Calibri"/>
                <w:b/>
                <w:color w:val="E5484D"/>
                <w:sz w:val="22"/>
              </w:rPr>
              <w:t>−7.1%</w:t>
            </w:r>
          </w:p>
        </w:tc>
        <w:tc>
          <w:tcPr>
            <w:tcW w:type="dxa" w:w="1440"/>
          </w:tcPr>
          <w:p>
            <w:r>
              <w:rPr>
                <w:rFonts w:ascii="Calibri" w:hAnsi="Calibri"/>
                <w:sz w:val="22"/>
              </w:rPr>
              <w:t>Miss</w:t>
            </w:r>
          </w:p>
        </w:tc>
      </w:tr>
      <w:tr>
        <w:tc>
          <w:tcPr>
            <w:tcW w:type="dxa" w:w="1440"/>
          </w:tcPr>
          <w:p>
            <w:r>
              <w:rPr>
                <w:rFonts w:ascii="Calibri" w:hAnsi="Calibri"/>
                <w:sz w:val="22"/>
              </w:rPr>
              <w:t>Q3 FY2025 (Mar 2025)</w:t>
            </w:r>
          </w:p>
        </w:tc>
        <w:tc>
          <w:tcPr>
            <w:tcW w:type="dxa" w:w="1440"/>
          </w:tcPr>
          <w:p>
            <w:r>
              <w:rPr>
                <w:rFonts w:ascii="Calibri" w:hAnsi="Calibri"/>
                <w:sz w:val="22"/>
              </w:rPr>
              <w:t>Net Sales</w:t>
            </w:r>
          </w:p>
        </w:tc>
        <w:tc>
          <w:tcPr>
            <w:tcW w:type="dxa" w:w="1440"/>
          </w:tcPr>
          <w:p>
            <w:r>
              <w:rPr>
                <w:rFonts w:ascii="Calibri" w:hAnsi="Calibri"/>
                <w:sz w:val="22"/>
              </w:rPr>
              <w:t>$1,668M</w:t>
            </w:r>
          </w:p>
        </w:tc>
        <w:tc>
          <w:tcPr>
            <w:tcW w:type="dxa" w:w="1440"/>
          </w:tcPr>
          <w:p>
            <w:r>
              <w:rPr>
                <w:rFonts w:ascii="Calibri" w:hAnsi="Calibri"/>
                <w:sz w:val="22"/>
              </w:rPr>
              <w:t>$1,724M</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Q2 FY2025 (Dec 2024)</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$1.41</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Q2 FY2025 (Dec 2024)</w:t>
            </w:r>
          </w:p>
        </w:tc>
        <w:tc>
          <w:tcPr>
            <w:tcW w:type="dxa" w:w="1440"/>
          </w:tcPr>
          <w:p>
            <w:r>
              <w:rPr>
                <w:rFonts w:ascii="Calibri" w:hAnsi="Calibri"/>
                <w:sz w:val="22"/>
              </w:rPr>
              <w:t>Net Sales</w:t>
            </w:r>
          </w:p>
        </w:tc>
        <w:tc>
          <w:tcPr>
            <w:tcW w:type="dxa" w:w="1440"/>
          </w:tcPr>
          <w:p>
            <w:r>
              <w:rPr>
                <w:rFonts w:ascii="Calibri" w:hAnsi="Calibri"/>
                <w:sz w:val="22"/>
              </w:rPr>
              <w:t>$1,686M</w:t>
            </w:r>
          </w:p>
        </w:tc>
        <w:tc>
          <w:tcPr>
            <w:tcW w:type="dxa" w:w="1440"/>
          </w:tcPr>
          <w:p>
            <w:r>
              <w:rPr>
                <w:rFonts w:ascii="Calibri" w:hAnsi="Calibri"/>
                <w:sz w:val="22"/>
              </w:rPr>
              <w:t>$1,640M</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FY2025 (Sep 2024)</w:t>
            </w:r>
          </w:p>
        </w:tc>
        <w:tc>
          <w:tcPr>
            <w:tcW w:type="dxa" w:w="1440"/>
          </w:tcPr>
          <w:p>
            <w:r>
              <w:rPr>
                <w:rFonts w:ascii="Calibri" w:hAnsi="Calibri"/>
                <w:sz w:val="22"/>
              </w:rPr>
              <w:t>Adj. EPS</w:t>
            </w:r>
          </w:p>
        </w:tc>
        <w:tc>
          <w:tcPr>
            <w:tcW w:type="dxa" w:w="1440"/>
          </w:tcPr>
          <w:p>
            <w:r>
              <w:rPr>
                <w:rFonts w:ascii="Calibri" w:hAnsi="Calibri"/>
                <w:sz w:val="22"/>
              </w:rPr>
              <w:t>$1.86</w:t>
            </w:r>
          </w:p>
        </w:tc>
        <w:tc>
          <w:tcPr>
            <w:tcW w:type="dxa" w:w="1440"/>
          </w:tcPr>
          <w:p>
            <w:r>
              <w:rPr>
                <w:rFonts w:ascii="Calibri" w:hAnsi="Calibri"/>
                <w:sz w:val="22"/>
              </w:rPr>
              <w:t>$1.37</w:t>
            </w:r>
          </w:p>
        </w:tc>
        <w:tc>
          <w:tcPr>
            <w:tcW w:type="dxa" w:w="1440"/>
          </w:tcPr>
          <w:p>
            <w:r>
              <w:rPr>
                <w:rFonts w:ascii="Calibri" w:hAnsi="Calibri"/>
                <w:b/>
                <w:color w:val="30A46C"/>
                <w:sz w:val="22"/>
              </w:rPr>
              <w:t>+35.8%</w:t>
            </w:r>
          </w:p>
        </w:tc>
        <w:tc>
          <w:tcPr>
            <w:tcW w:type="dxa" w:w="1440"/>
          </w:tcPr>
          <w:p>
            <w:r>
              <w:rPr>
                <w:rFonts w:ascii="Calibri" w:hAnsi="Calibri"/>
                <w:sz w:val="22"/>
              </w:rPr>
              <w:t>Large Beat</w:t>
            </w:r>
          </w:p>
        </w:tc>
      </w:tr>
      <w:tr>
        <w:tc>
          <w:tcPr>
            <w:tcW w:type="dxa" w:w="1440"/>
          </w:tcPr>
          <w:p>
            <w:r>
              <w:rPr>
                <w:rFonts w:ascii="Calibri" w:hAnsi="Calibri"/>
                <w:sz w:val="22"/>
              </w:rPr>
              <w:t>Q1 FY2025 (Sep 2024)</w:t>
            </w:r>
          </w:p>
        </w:tc>
        <w:tc>
          <w:tcPr>
            <w:tcW w:type="dxa" w:w="1440"/>
          </w:tcPr>
          <w:p>
            <w:r>
              <w:rPr>
                <w:rFonts w:ascii="Calibri" w:hAnsi="Calibri"/>
                <w:sz w:val="22"/>
              </w:rPr>
              <w:t>Net Sales</w:t>
            </w:r>
          </w:p>
        </w:tc>
        <w:tc>
          <w:tcPr>
            <w:tcW w:type="dxa" w:w="1440"/>
          </w:tcPr>
          <w:p>
            <w:r>
              <w:rPr>
                <w:rFonts w:ascii="Calibri" w:hAnsi="Calibri"/>
                <w:sz w:val="22"/>
              </w:rPr>
              <w:t>$1,762M</w:t>
            </w:r>
          </w:p>
        </w:tc>
        <w:tc>
          <w:tcPr>
            <w:tcW w:type="dxa" w:w="1440"/>
          </w:tcPr>
          <w:p>
            <w:r>
              <w:rPr>
                <w:rFonts w:ascii="Calibri" w:hAnsi="Calibri"/>
                <w:sz w:val="22"/>
              </w:rPr>
              <w:t>$1,639M</w:t>
            </w:r>
          </w:p>
        </w:tc>
        <w:tc>
          <w:tcPr>
            <w:tcW w:type="dxa" w:w="1440"/>
          </w:tcPr>
          <w:p>
            <w:r>
              <w:rPr>
                <w:rFonts w:ascii="Calibri" w:hAnsi="Calibri"/>
                <w:b/>
                <w:color w:val="30A46C"/>
                <w:sz w:val="22"/>
              </w:rPr>
              <w:t>+7.5%</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CLX has beaten adjusted EPS consensus in 6 of the last 8 quarters, with the two misses (Q3 FY2025 and Q2 FY2026) driven by ERP-related cost overruns; the large beats in Q1 FY2025 and Q4 FY2025 reflected ERP pull-forward shipment leverage that will not repeat. Net sales beats have been more consistent, though the ERP reversal creates a mechanical headwind in FY2026 that distorts the YoY comparison.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cut sharply at the April 30 Q3 earnings call — the single largest revision event since the ERP disruption began — and has not been formally revised since. </w:t>
      </w:r>
      <w:r>
        <w:rPr>
          <w:rFonts w:ascii="Calibri" w:hAnsi="Calibri"/>
          <w:b/>
          <w:color w:val="525866"/>
          <w:sz w:val="22"/>
        </w:rPr>
        <w:t>Tone at the June 3 Deutsche Bank conference was stable-to-slightly-more-constructive on GOJO integration and FY2027 setup, but cautious on near-term consumer and cost environment.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Apr 30, 2026)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 Growth</w:t>
            </w:r>
          </w:p>
        </w:tc>
        <w:tc>
          <w:tcPr>
            <w:tcW w:type="dxa" w:w="1728"/>
          </w:tcPr>
          <w:p>
            <w:r>
              <w:rPr>
                <w:rFonts w:ascii="Calibri" w:hAnsi="Calibri"/>
                <w:sz w:val="22"/>
              </w:rPr>
              <w:t>Down ~6% (incl. ~+3 pts GOJO, &lt;1 pt FX benefit, &lt;1 pt VMS divestiture headwind)</w:t>
            </w:r>
          </w:p>
        </w:tc>
        <w:tc>
          <w:tcPr>
            <w:tcW w:type="dxa" w:w="1728"/>
          </w:tcPr>
          <w:p>
            <w:r>
              <w:rPr>
                <w:rFonts w:ascii="Calibri" w:hAnsi="Calibri"/>
                <w:sz w:val="22"/>
              </w:rPr>
              <w:t>—</w:t>
            </w:r>
          </w:p>
        </w:tc>
        <w:tc>
          <w:tcPr>
            <w:tcW w:type="dxa" w:w="1728"/>
          </w:tcPr>
          <w:p>
            <w:r>
              <w:rPr>
                <w:rFonts w:ascii="Calibri" w:hAnsi="Calibri"/>
                <w:sz w:val="22"/>
              </w:rPr>
              <w:t>~−6.0% implied by $6.67B consensus</w:t>
            </w:r>
          </w:p>
        </w:tc>
        <w:tc>
          <w:tcPr>
            <w:tcW w:type="dxa" w:w="1728"/>
          </w:tcPr>
          <w:p>
            <w:r>
              <w:rPr>
                <w:rFonts w:ascii="Calibri" w:hAnsi="Calibri"/>
                <w:sz w:val="22"/>
              </w:rPr>
              <w:t>No post-earnings revision; consensus in line with guidance</w:t>
            </w:r>
          </w:p>
        </w:tc>
      </w:tr>
      <w:tr>
        <w:tc>
          <w:tcPr>
            <w:tcW w:type="dxa" w:w="1728"/>
          </w:tcPr>
          <w:p>
            <w:r>
              <w:rPr>
                <w:rFonts w:ascii="Calibri" w:hAnsi="Calibri"/>
                <w:sz w:val="22"/>
              </w:rPr>
              <w:t>FY2026 Organic Sales Growth</w:t>
            </w:r>
          </w:p>
        </w:tc>
        <w:tc>
          <w:tcPr>
            <w:tcW w:type="dxa" w:w="1728"/>
          </w:tcPr>
          <w:p>
            <w:r>
              <w:rPr>
                <w:rFonts w:ascii="Calibri" w:hAnsi="Calibri"/>
                <w:sz w:val="22"/>
              </w:rPr>
              <w:t>Down ~9% (vs. prior low end of −5% to −9%); incl. ~−7.5 pts ERP reversal</w:t>
            </w:r>
          </w:p>
        </w:tc>
        <w:tc>
          <w:tcPr>
            <w:tcW w:type="dxa" w:w="1728"/>
          </w:tcPr>
          <w:p>
            <w:r>
              <w:rPr>
                <w:rFonts w:ascii="Calibri" w:hAnsi="Calibri"/>
                <w:sz w:val="22"/>
              </w:rPr>
              <w:t>—</w:t>
            </w:r>
          </w:p>
        </w:tc>
        <w:tc>
          <w:tcPr>
            <w:tcW w:type="dxa" w:w="1728"/>
          </w:tcPr>
          <w:p>
            <w:r>
              <w:rPr>
                <w:rFonts w:ascii="Calibri" w:hAnsi="Calibri"/>
                <w:sz w:val="22"/>
              </w:rPr>
              <w:t>~−8.2% (VA consensus)</w:t>
            </w:r>
          </w:p>
        </w:tc>
        <w:tc>
          <w:tcPr>
            <w:tcW w:type="dxa" w:w="1728"/>
          </w:tcPr>
          <w:p>
            <w:r>
              <w:rPr>
                <w:rFonts w:ascii="Calibri" w:hAnsi="Calibri"/>
                <w:sz w:val="22"/>
              </w:rPr>
              <w:t>Slight consensus cushion vs. guidance; ERP reversal is mechanical and non-recurring</w:t>
            </w:r>
          </w:p>
        </w:tc>
      </w:tr>
      <w:tr>
        <w:tc>
          <w:tcPr>
            <w:tcW w:type="dxa" w:w="1728"/>
          </w:tcPr>
          <w:p>
            <w:r>
              <w:rPr>
                <w:rFonts w:ascii="Calibri" w:hAnsi="Calibri"/>
                <w:sz w:val="22"/>
              </w:rPr>
              <w:t>FY2026 Gross Margin Change</w:t>
            </w:r>
          </w:p>
        </w:tc>
        <w:tc>
          <w:tcPr>
            <w:tcW w:type="dxa" w:w="1728"/>
          </w:tcPr>
          <w:p>
            <w:r>
              <w:rPr>
                <w:rFonts w:ascii="Calibri" w:hAnsi="Calibri"/>
                <w:sz w:val="22"/>
              </w:rPr>
              <w:t>Down 250–300 bps (vs. prior low end of −50 to −100 bps)</w:t>
            </w:r>
          </w:p>
        </w:tc>
        <w:tc>
          <w:tcPr>
            <w:tcW w:type="dxa" w:w="1728"/>
          </w:tcPr>
          <w:p>
            <w:r>
              <w:rPr>
                <w:rFonts w:ascii="Calibri" w:hAnsi="Calibri"/>
                <w:sz w:val="22"/>
              </w:rPr>
              <w:t>—</w:t>
            </w:r>
          </w:p>
        </w:tc>
        <w:tc>
          <w:tcPr>
            <w:tcW w:type="dxa" w:w="1728"/>
          </w:tcPr>
          <w:p>
            <w:r>
              <w:rPr>
                <w:rFonts w:ascii="Calibri" w:hAnsi="Calibri"/>
                <w:sz w:val="22"/>
              </w:rPr>
              <w:t>~−275 bps (midpoint of guidance)</w:t>
            </w:r>
          </w:p>
        </w:tc>
        <w:tc>
          <w:tcPr>
            <w:tcW w:type="dxa" w:w="1728"/>
          </w:tcPr>
          <w:p>
            <w:r>
              <w:rPr>
                <w:rFonts w:ascii="Calibri" w:hAnsi="Calibri"/>
                <w:sz w:val="22"/>
              </w:rPr>
              <w:t>↓ Sharply cut at Q3 earnings; driven by GOJO step-up (~60 bps), ERP lapping (~100 bps), Middle East energy (~100–150 bps Q4)</w:t>
            </w:r>
          </w:p>
        </w:tc>
      </w:tr>
      <w:tr>
        <w:tc>
          <w:tcPr>
            <w:tcW w:type="dxa" w:w="1728"/>
          </w:tcPr>
          <w:p>
            <w:r>
              <w:rPr>
                <w:rFonts w:ascii="Calibri" w:hAnsi="Calibri"/>
                <w:sz w:val="22"/>
              </w:rPr>
              <w:t>FY2026 Adj. EPS</w:t>
            </w:r>
          </w:p>
        </w:tc>
        <w:tc>
          <w:tcPr>
            <w:tcW w:type="dxa" w:w="1728"/>
          </w:tcPr>
          <w:p>
            <w:r>
              <w:rPr>
                <w:rFonts w:ascii="Calibri" w:hAnsi="Calibri"/>
                <w:sz w:val="22"/>
              </w:rPr>
              <w:t>$5.45–$5.65 (vs. prior low end of $5.95–$6.30)</w:t>
            </w:r>
          </w:p>
        </w:tc>
        <w:tc>
          <w:tcPr>
            <w:tcW w:type="dxa" w:w="1728"/>
          </w:tcPr>
          <w:p>
            <w:r>
              <w:rPr>
                <w:rFonts w:ascii="Calibri" w:hAnsi="Calibri"/>
                <w:sz w:val="22"/>
              </w:rPr>
              <w:t>—</w:t>
            </w:r>
          </w:p>
        </w:tc>
        <w:tc>
          <w:tcPr>
            <w:tcW w:type="dxa" w:w="1728"/>
          </w:tcPr>
          <w:p>
            <w:r>
              <w:rPr>
                <w:rFonts w:ascii="Calibri" w:hAnsi="Calibri"/>
                <w:sz w:val="22"/>
              </w:rPr>
              <w:t>$5.56 (VA consensus)</w:t>
            </w:r>
          </w:p>
        </w:tc>
        <w:tc>
          <w:tcPr>
            <w:tcW w:type="dxa" w:w="1728"/>
          </w:tcPr>
          <w:p>
            <w:r>
              <w:rPr>
                <w:rFonts w:ascii="Calibri" w:hAnsi="Calibri"/>
                <w:sz w:val="22"/>
              </w:rPr>
              <w:t>↓ Cut ~$0.50 at Q3 earnings; incl. ~$0.90 ERP reversal headwind and ~$0.02–$0.04 GOJO dilution</w:t>
            </w:r>
          </w:p>
        </w:tc>
      </w:tr>
      <w:tr>
        <w:tc>
          <w:tcPr>
            <w:tcW w:type="dxa" w:w="1728"/>
          </w:tcPr>
          <w:p>
            <w:r>
              <w:rPr>
                <w:rFonts w:ascii="Calibri" w:hAnsi="Calibri"/>
                <w:sz w:val="22"/>
              </w:rPr>
              <w:t>FY2026 SG&amp;A (% of sales)</w:t>
            </w:r>
          </w:p>
        </w:tc>
        <w:tc>
          <w:tcPr>
            <w:tcW w:type="dxa" w:w="1728"/>
          </w:tcPr>
          <w:p>
            <w:r>
              <w:rPr>
                <w:rFonts w:ascii="Calibri" w:hAnsi="Calibri"/>
                <w:sz w:val="22"/>
              </w:rPr>
              <w:t>~16% of net sales (incl. ~90 bps digital/productivity investments)</w:t>
            </w:r>
          </w:p>
        </w:tc>
        <w:tc>
          <w:tcPr>
            <w:tcW w:type="dxa" w:w="1728"/>
          </w:tcPr>
          <w:p>
            <w:r>
              <w:rPr>
                <w:rFonts w:ascii="Calibri" w:hAnsi="Calibri"/>
                <w:sz w:val="22"/>
              </w:rPr>
              <w:t>—</w:t>
            </w:r>
          </w:p>
        </w:tc>
        <w:tc>
          <w:tcPr>
            <w:tcW w:type="dxa" w:w="1728"/>
          </w:tcPr>
          <w:p>
            <w:r>
              <w:rPr>
                <w:rFonts w:ascii="Calibri" w:hAnsi="Calibri"/>
                <w:sz w:val="22"/>
              </w:rPr>
              <w:t>~16% (unchanged)</w:t>
            </w:r>
          </w:p>
        </w:tc>
        <w:tc>
          <w:tcPr>
            <w:tcW w:type="dxa" w:w="1728"/>
          </w:tcPr>
          <w:p>
            <w:r>
              <w:rPr>
                <w:rFonts w:ascii="Calibri" w:hAnsi="Calibri"/>
                <w:sz w:val="22"/>
              </w:rPr>
              <w:t>Unchanged; GOJO adds ~1 pt to SG&amp;A as % of sales when fully integrated</w:t>
            </w:r>
          </w:p>
        </w:tc>
      </w:tr>
      <w:tr>
        <w:tc>
          <w:tcPr>
            <w:tcW w:type="dxa" w:w="1728"/>
          </w:tcPr>
          <w:p>
            <w:r>
              <w:rPr>
                <w:rFonts w:ascii="Calibri" w:hAnsi="Calibri"/>
                <w:sz w:val="22"/>
              </w:rPr>
              <w:t>FY2026 Advertising (% of sales)</w:t>
            </w:r>
          </w:p>
        </w:tc>
        <w:tc>
          <w:tcPr>
            <w:tcW w:type="dxa" w:w="1728"/>
          </w:tcPr>
          <w:p>
            <w:r>
              <w:rPr>
                <w:rFonts w:ascii="Calibri" w:hAnsi="Calibri"/>
                <w:sz w:val="22"/>
              </w:rPr>
              <w:t>~11% of net sales (GOJO lowers by ~25 bps for the quarter, rounds to 11% FY)</w:t>
            </w:r>
          </w:p>
        </w:tc>
        <w:tc>
          <w:tcPr>
            <w:tcW w:type="dxa" w:w="1728"/>
          </w:tcPr>
          <w:p>
            <w:r>
              <w:rPr>
                <w:rFonts w:ascii="Calibri" w:hAnsi="Calibri"/>
                <w:sz w:val="22"/>
              </w:rPr>
              <w:t>—</w:t>
            </w:r>
          </w:p>
        </w:tc>
        <w:tc>
          <w:tcPr>
            <w:tcW w:type="dxa" w:w="1728"/>
          </w:tcPr>
          <w:p>
            <w:r>
              <w:rPr>
                <w:rFonts w:ascii="Calibri" w:hAnsi="Calibri"/>
                <w:sz w:val="22"/>
              </w:rPr>
              <w:t>~11%</w:t>
            </w:r>
          </w:p>
        </w:tc>
        <w:tc>
          <w:tcPr>
            <w:tcW w:type="dxa" w:w="1728"/>
          </w:tcPr>
          <w:p>
            <w:r>
              <w:rPr>
                <w:rFonts w:ascii="Calibri" w:hAnsi="Calibri"/>
                <w:sz w:val="22"/>
              </w:rPr>
              <w:t>Unchanged; GOJO’s lower advertising profile reduces total company A&amp;P by ~1 pt initially</w:t>
            </w:r>
          </w:p>
        </w:tc>
      </w:tr>
      <w:tr>
        <w:tc>
          <w:tcPr>
            <w:tcW w:type="dxa" w:w="1728"/>
          </w:tcPr>
          <w:p>
            <w:r>
              <w:rPr>
                <w:rFonts w:ascii="Calibri" w:hAnsi="Calibri"/>
                <w:sz w:val="22"/>
              </w:rPr>
              <w:t>FY2026 Effective Tax Rate</w:t>
            </w:r>
          </w:p>
        </w:tc>
        <w:tc>
          <w:tcPr>
            <w:tcW w:type="dxa" w:w="1728"/>
          </w:tcPr>
          <w:p>
            <w:r>
              <w:rPr>
                <w:rFonts w:ascii="Calibri" w:hAnsi="Calibri"/>
                <w:sz w:val="22"/>
              </w:rPr>
              <w:t>~24%</w:t>
            </w:r>
          </w:p>
        </w:tc>
        <w:tc>
          <w:tcPr>
            <w:tcW w:type="dxa" w:w="1728"/>
          </w:tcPr>
          <w:p>
            <w:r>
              <w:rPr>
                <w:rFonts w:ascii="Calibri" w:hAnsi="Calibri"/>
                <w:sz w:val="22"/>
              </w:rPr>
              <w:t>—</w:t>
            </w:r>
          </w:p>
        </w:tc>
        <w:tc>
          <w:tcPr>
            <w:tcW w:type="dxa" w:w="1728"/>
          </w:tcPr>
          <w:p>
            <w:r>
              <w:rPr>
                <w:rFonts w:ascii="Calibri" w:hAnsi="Calibri"/>
                <w:sz w:val="22"/>
              </w:rPr>
              <w:t>~24%</w:t>
            </w:r>
          </w:p>
        </w:tc>
        <w:tc>
          <w:tcPr>
            <w:tcW w:type="dxa" w:w="1728"/>
          </w:tcPr>
          <w:p>
            <w:r>
              <w:rPr>
                <w:rFonts w:ascii="Calibri" w:hAnsi="Calibri"/>
                <w:sz w:val="22"/>
              </w:rPr>
              <w:t>Unchanged</w:t>
            </w:r>
          </w:p>
        </w:tc>
      </w:tr>
    </w:tbl>
    <w:p>
      <w:r>
        <w:rPr>
          <w:rFonts w:ascii="Calibri" w:hAnsi="Calibri"/>
          <w:i/>
          <w:color w:val="525866"/>
          <w:sz w:val="22"/>
        </w:rPr>
        <w:t>Source: CLX Q3 FY2026 Earnings Release (Apr 30, 2026); CLX Q3 FY2026 Earnings Call Transcript (Apr 30, 2026); Deutsche Bank Global Consumer Conference Transcript (Jun 3, 2026); Visible Alpha consensus data.</w:t>
      </w:r>
    </w:p>
    <w:p>
      <w:r>
        <w:rPr>
          <w:rFonts w:ascii="Calibri" w:hAnsi="Calibri"/>
          <w:b/>
          <w:color w:val="525866"/>
          <w:sz w:val="22"/>
        </w:rPr>
        <w:t xml:space="preserve">Post-Earnings Tone Update (Deutsche Bank Conference, June 3, 2026): </w:t>
      </w:r>
      <w:r>
        <w:rPr>
          <w:rFonts w:ascii="Calibri" w:hAnsi="Calibri"/>
          <w:color w:val="525866"/>
          <w:sz w:val="22"/>
        </w:rPr>
        <w:t>CFO Luc Bellet confirmed that Q4 gross margin is “currently projected at 41% to 42%” (excluding ~150 bps of GOJO one-time transaction costs, the underlying Q4 gross margin is ~43%). He reiterated that ERP stabilization costs are not expected to recur in Q4 or beyond, and that delayed cost savings have “strengthened the cost savings pipeline for next year.” On GOJO, CEO Linda Rendle stated integration is “going well” with “more confidence than ever that this was a great acquisition.” On the CEO transition, Rendle emphasized “nothing changes in the short term” and the “entire team is focused on executing our strategy.”</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Q3 earnings reset — the Street has largely accepted management’s revised guidance as the new baseline. </w:t>
      </w:r>
      <w:r>
        <w:rPr>
          <w:rFonts w:ascii="Calibri" w:hAnsi="Calibri"/>
          <w:b/>
          <w:color w:val="525866"/>
          <w:sz w:val="22"/>
        </w:rPr>
        <w:t>The FY2026 adj. EPS consensus of $5.56 sits near the midpoint of the $5.45–$5.65 guided range, implying minimal incremental risk from the Q4 print itself; the more important question is FY2027 setup commentary on the call.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(as of May 7,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Q4 FY2026</w:t>
            </w:r>
          </w:p>
        </w:tc>
        <w:tc>
          <w:tcPr>
            <w:tcW w:type="dxa" w:w="1080"/>
          </w:tcPr>
          <w:p>
            <w:r>
              <w:rPr>
                <w:rFonts w:ascii="Calibri" w:hAnsi="Calibri"/>
                <w:sz w:val="22"/>
              </w:rPr>
              <w:t>$1,917M</w:t>
            </w:r>
          </w:p>
        </w:tc>
        <w:tc>
          <w:tcPr>
            <w:tcW w:type="dxa" w:w="1080"/>
          </w:tcPr>
          <w:p>
            <w:r>
              <w:rPr>
                <w:rFonts w:ascii="Calibri" w:hAnsi="Calibri"/>
                <w:sz w:val="22"/>
              </w:rPr>
              <w:t>$1,899M</w:t>
            </w:r>
          </w:p>
        </w:tc>
        <w:tc>
          <w:tcPr>
            <w:tcW w:type="dxa" w:w="1080"/>
          </w:tcPr>
          <w:p>
            <w:r>
              <w:rPr>
                <w:rFonts w:ascii="Calibri" w:hAnsi="Calibri"/>
                <w:sz w:val="22"/>
              </w:rPr>
              <w:t>−0.9%</w:t>
            </w:r>
          </w:p>
        </w:tc>
        <w:tc>
          <w:tcPr>
            <w:tcW w:type="dxa" w:w="1080"/>
          </w:tcPr>
          <w:p>
            <w:r>
              <w:rPr>
                <w:rFonts w:ascii="Calibri" w:hAnsi="Calibri"/>
                <w:sz w:val="22"/>
              </w:rPr>
              <w:t>Down ~6% FY (implies ~$1,900M Q4)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Sales — FY2026</w:t>
            </w:r>
          </w:p>
        </w:tc>
        <w:tc>
          <w:tcPr>
            <w:tcW w:type="dxa" w:w="1080"/>
          </w:tcPr>
          <w:p>
            <w:r>
              <w:rPr>
                <w:rFonts w:ascii="Calibri" w:hAnsi="Calibri"/>
                <w:sz w:val="22"/>
              </w:rPr>
              <w:t>$6,689M</w:t>
            </w:r>
          </w:p>
        </w:tc>
        <w:tc>
          <w:tcPr>
            <w:tcW w:type="dxa" w:w="1080"/>
          </w:tcPr>
          <w:p>
            <w:r>
              <w:rPr>
                <w:rFonts w:ascii="Calibri" w:hAnsi="Calibri"/>
                <w:sz w:val="22"/>
              </w:rPr>
              <w:t>$6,672M</w:t>
            </w:r>
          </w:p>
        </w:tc>
        <w:tc>
          <w:tcPr>
            <w:tcW w:type="dxa" w:w="1080"/>
          </w:tcPr>
          <w:p>
            <w:r>
              <w:rPr>
                <w:rFonts w:ascii="Calibri" w:hAnsi="Calibri"/>
                <w:sz w:val="22"/>
              </w:rPr>
              <w:t>−0.3%</w:t>
            </w:r>
          </w:p>
        </w:tc>
        <w:tc>
          <w:tcPr>
            <w:tcW w:type="dxa" w:w="1080"/>
          </w:tcPr>
          <w:p>
            <w:r>
              <w:rPr>
                <w:rFonts w:ascii="Calibri" w:hAnsi="Calibri"/>
                <w:sz w:val="22"/>
              </w:rPr>
              <w:t>Down ~6%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Q4 FY2026</w:t>
            </w:r>
          </w:p>
        </w:tc>
        <w:tc>
          <w:tcPr>
            <w:tcW w:type="dxa" w:w="1080"/>
          </w:tcPr>
          <w:p>
            <w:r>
              <w:rPr>
                <w:rFonts w:ascii="Calibri" w:hAnsi="Calibri"/>
                <w:sz w:val="22"/>
              </w:rPr>
              <w:t>$1.66</w:t>
            </w:r>
          </w:p>
        </w:tc>
        <w:tc>
          <w:tcPr>
            <w:tcW w:type="dxa" w:w="1080"/>
          </w:tcPr>
          <w:p>
            <w:r>
              <w:rPr>
                <w:rFonts w:ascii="Calibri" w:hAnsi="Calibri"/>
                <w:sz w:val="22"/>
              </w:rPr>
              <w:t>$1.69</w:t>
            </w:r>
          </w:p>
        </w:tc>
        <w:tc>
          <w:tcPr>
            <w:tcW w:type="dxa" w:w="1080"/>
          </w:tcPr>
          <w:p>
            <w:r>
              <w:rPr>
                <w:rFonts w:ascii="Calibri" w:hAnsi="Calibri"/>
                <w:b/>
                <w:color w:val="30A46C"/>
                <w:sz w:val="22"/>
              </w:rPr>
              <w:t>+1.8%</w:t>
            </w:r>
          </w:p>
        </w:tc>
        <w:tc>
          <w:tcPr>
            <w:tcW w:type="dxa" w:w="1080"/>
          </w:tcPr>
          <w:p>
            <w:r>
              <w:rPr>
                <w:rFonts w:ascii="Calibri" w:hAnsi="Calibri"/>
                <w:sz w:val="22"/>
              </w:rPr>
              <w:t>Implied by $5.45–$5.65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Adj. EPS — FY2026</w:t>
            </w:r>
          </w:p>
        </w:tc>
        <w:tc>
          <w:tcPr>
            <w:tcW w:type="dxa" w:w="1080"/>
          </w:tcPr>
          <w:p>
            <w:r>
              <w:rPr>
                <w:rFonts w:ascii="Calibri" w:hAnsi="Calibri"/>
                <w:sz w:val="22"/>
              </w:rPr>
              <w:t>$5.54</w:t>
            </w:r>
          </w:p>
        </w:tc>
        <w:tc>
          <w:tcPr>
            <w:tcW w:type="dxa" w:w="1080"/>
          </w:tcPr>
          <w:p>
            <w:r>
              <w:rPr>
                <w:rFonts w:ascii="Calibri" w:hAnsi="Calibri"/>
                <w:sz w:val="22"/>
              </w:rPr>
              <w:t>$5.56</w:t>
            </w:r>
          </w:p>
        </w:tc>
        <w:tc>
          <w:tcPr>
            <w:tcW w:type="dxa" w:w="1080"/>
          </w:tcPr>
          <w:p>
            <w:r>
              <w:rPr>
                <w:rFonts w:ascii="Calibri" w:hAnsi="Calibri"/>
                <w:sz w:val="22"/>
              </w:rPr>
              <w:t>+0.4%</w:t>
            </w:r>
          </w:p>
        </w:tc>
        <w:tc>
          <w:tcPr>
            <w:tcW w:type="dxa" w:w="1080"/>
          </w:tcPr>
          <w:p>
            <w:r>
              <w:rPr>
                <w:rFonts w:ascii="Calibri" w:hAnsi="Calibri"/>
                <w:sz w:val="22"/>
              </w:rPr>
              <w:t>$5.45–$5.65 (midpoint $5.55)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Gross Profit — Q4 FY2026</w:t>
            </w:r>
          </w:p>
        </w:tc>
        <w:tc>
          <w:tcPr>
            <w:tcW w:type="dxa" w:w="1080"/>
          </w:tcPr>
          <w:p>
            <w:r>
              <w:rPr>
                <w:rFonts w:ascii="Calibri" w:hAnsi="Calibri"/>
                <w:sz w:val="22"/>
              </w:rPr>
              <w:t>$807M</w:t>
            </w:r>
          </w:p>
        </w:tc>
        <w:tc>
          <w:tcPr>
            <w:tcW w:type="dxa" w:w="1080"/>
          </w:tcPr>
          <w:p>
            <w:r>
              <w:rPr>
                <w:rFonts w:ascii="Calibri" w:hAnsi="Calibri"/>
                <w:sz w:val="22"/>
              </w:rPr>
              <w:t>$809M</w:t>
            </w:r>
          </w:p>
        </w:tc>
        <w:tc>
          <w:tcPr>
            <w:tcW w:type="dxa" w:w="1080"/>
          </w:tcPr>
          <w:p>
            <w:r>
              <w:rPr>
                <w:rFonts w:ascii="Calibri" w:hAnsi="Calibri"/>
                <w:sz w:val="22"/>
              </w:rPr>
              <w:t>+0.2%</w:t>
            </w:r>
          </w:p>
        </w:tc>
        <w:tc>
          <w:tcPr>
            <w:tcW w:type="dxa" w:w="1080"/>
          </w:tcPr>
          <w:p>
            <w:r>
              <w:rPr>
                <w:rFonts w:ascii="Calibri" w:hAnsi="Calibri"/>
                <w:sz w:val="22"/>
              </w:rPr>
              <w:t>Down 250–300 bps FY; Q4 ~41–42%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guided range</w:t>
            </w:r>
          </w:p>
        </w:tc>
      </w:tr>
      <w:tr>
        <w:tc>
          <w:tcPr>
            <w:tcW w:type="dxa" w:w="1080"/>
          </w:tcPr>
          <w:p>
            <w:r>
              <w:rPr>
                <w:rFonts w:ascii="Calibri" w:hAnsi="Calibri"/>
                <w:sz w:val="22"/>
              </w:rPr>
              <w:t>Gross Profit — FY2026</w:t>
            </w:r>
          </w:p>
        </w:tc>
        <w:tc>
          <w:tcPr>
            <w:tcW w:type="dxa" w:w="1080"/>
          </w:tcPr>
          <w:p>
            <w:r>
              <w:rPr>
                <w:rFonts w:ascii="Calibri" w:hAnsi="Calibri"/>
                <w:sz w:val="22"/>
              </w:rPr>
              <w:t>$2,847M</w:t>
            </w:r>
          </w:p>
        </w:tc>
        <w:tc>
          <w:tcPr>
            <w:tcW w:type="dxa" w:w="1080"/>
          </w:tcPr>
          <w:p>
            <w:r>
              <w:rPr>
                <w:rFonts w:ascii="Calibri" w:hAnsi="Calibri"/>
                <w:sz w:val="22"/>
              </w:rPr>
              <w:t>$2,852M</w:t>
            </w:r>
          </w:p>
        </w:tc>
        <w:tc>
          <w:tcPr>
            <w:tcW w:type="dxa" w:w="1080"/>
          </w:tcPr>
          <w:p>
            <w:r>
              <w:rPr>
                <w:rFonts w:ascii="Calibri" w:hAnsi="Calibri"/>
                <w:sz w:val="22"/>
              </w:rPr>
              <w:t>+0.2%</w:t>
            </w:r>
          </w:p>
        </w:tc>
        <w:tc>
          <w:tcPr>
            <w:tcW w:type="dxa" w:w="1080"/>
          </w:tcPr>
          <w:p>
            <w:r>
              <w:rPr>
                <w:rFonts w:ascii="Calibri" w:hAnsi="Calibri"/>
                <w:sz w:val="22"/>
              </w:rPr>
              <w:t>Down 250–300 bps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i/>
          <w:color w:val="525866"/>
          <w:sz w:val="22"/>
        </w:rPr>
        <w:t xml:space="preserve">Source: Visible Alpha consensus and actuals data (as-of May 7, 2026 and latest as of August 2, 2026). </w:t>
      </w:r>
    </w:p>
    <w:p>
      <w:r>
        <w:rPr>
          <w:rFonts w:ascii="Calibri" w:hAnsi="Calibri"/>
          <w:b/>
          <w:color w:val="525866"/>
          <w:sz w:val="22"/>
        </w:rPr>
        <w:t xml:space="preserve">Commentary: </w:t>
      </w:r>
      <w:r>
        <w:rPr>
          <w:rFonts w:ascii="Calibri" w:hAnsi="Calibri"/>
          <w:color w:val="525866"/>
          <w:sz w:val="22"/>
        </w:rPr>
        <w:t>The near-complete stability of estimates since the Q3 reset is notable — it suggests the Street has accepted management’s guidance as credible and is not pricing in further deterioration. The slight upward drift in Q4 adj. EPS (+1.8% since the post-Q3 baseline) likely reflects modest optimism around ERP cost normalization and GOJO contribution. The key risk to watch on the call is FY2027 guidance: the ~$0.90 ERP reversal tailwind and ~3.5 pts of sales benefit are well-understood, but the magnitude of Middle East energy cost carryover into FY2027 remains highly uncertain — management noted at the Q3 call that “there are so many impacts potentially depending on how this conflict plays out.” As of August 2, Brent crude has pulled back sharply toward ~$84/barrel following Trump’s announcement of a potential Iran deal framework, which could meaningfully reduce the FY2027 cost headwind embedded in current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CLX has underperformed both XLP and the S&amp;P 500 since the April 30 earnings date, driven almost entirely by multiple compression and guidance-cut-driven estimate resets rather than any macro tailwind. </w:t>
      </w:r>
      <w:r>
        <w:rPr>
          <w:rFonts w:ascii="Calibri" w:hAnsi="Calibri"/>
          <w:b/>
          <w:color w:val="525866"/>
          <w:sz w:val="22"/>
        </w:rPr>
        <w:t>The stock’s 12-month NTM P/E has contracted ~19% to ~16x, a ~36% discount to the household &amp; personal products peer group — the widest discount in recent history, reflecting CEO transition uncertainty layered on top of ongoing execution risk.</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Q3 earnings call is the </w:t>
      </w:r>
      <w:r>
        <w:rPr>
          <w:rFonts w:ascii="Calibri" w:hAnsi="Calibri"/>
          <w:b/>
          <w:color w:val="525866"/>
          <w:sz w:val="22"/>
        </w:rPr>
        <w:t>CEO succession announcement (May 28)</w:t>
      </w:r>
      <w:r>
        <w:rPr>
          <w:rFonts w:ascii="Calibri" w:hAnsi="Calibri"/>
          <w:color w:val="525866"/>
          <w:sz w:val="22"/>
        </w:rPr>
        <w:t xml:space="preserve"> — a significant overhang that adds leadership uncertainty to an already complex operational story; the June 17 appointment of a COO and Chief Growth &amp; Strategy Officer partially addresses the near-term execution gap but does not resolve the longer-term strategic question of who will lead the company through the GOJO integration and FY2027 recovery.</w:t>
      </w:r>
    </w:p>
    <w:p>
      <w:pPr>
        <w:pStyle w:val="ListBullet"/>
        <w:ind w:left="360" w:hanging="360"/>
      </w:pPr>
      <w:r>
        <w:rPr>
          <w:rFonts w:ascii="Calibri" w:hAnsi="Calibri"/>
          <w:b/>
          <w:color w:val="525866"/>
          <w:sz w:val="22"/>
        </w:rPr>
        <w:t>May 28, 2026 — CEO Linda Rendle announces step-down for health reasons.</w:t>
      </w:r>
      <w:r>
        <w:rPr>
          <w:rFonts w:ascii="Calibri" w:hAnsi="Calibri"/>
          <w:color w:val="525866"/>
          <w:sz w:val="22"/>
        </w:rPr>
        <w:t xml:space="preserve"> Chair and CEO Linda Rendle asked the Board to initiate a comprehensive CEO search process, citing health reasons. Rendle will remain Chair and CEO until a successor is appointed and will serve in an advisory role thereafter. The Board formed an independent CEO search committee with an external search firm. </w:t>
      </w:r>
      <w:r>
        <w:rPr>
          <w:rFonts w:ascii="Calibri" w:hAnsi="Calibri"/>
          <w:i/>
          <w:color w:val="525866"/>
          <w:sz w:val="22"/>
        </w:rPr>
        <w:t xml:space="preserve">Implication: </w:t>
      </w:r>
      <w:r>
        <w:rPr>
          <w:rFonts w:ascii="Calibri" w:hAnsi="Calibri"/>
          <w:i/>
          <w:color w:val="525866"/>
          <w:sz w:val="22"/>
        </w:rPr>
        <w:t>Significant leadership uncertainty at a critical juncture — the company is mid-GOJO integration, navigating a complex FY2026 gross margin environment, and entering a pivotal FY2027 recovery year. Stock fell ~6.4% on the announcement day.</w:t>
      </w:r>
    </w:p>
    <w:p>
      <w:pPr>
        <w:pStyle w:val="ListBullet"/>
        <w:ind w:left="360" w:hanging="360"/>
      </w:pPr>
      <w:r>
        <w:rPr>
          <w:rFonts w:ascii="Calibri" w:hAnsi="Calibri"/>
          <w:b/>
          <w:color w:val="525866"/>
          <w:sz w:val="22"/>
        </w:rPr>
        <w:t>June 17, 2026 — Chris Hyder named COO; Nina Barton named Chief Growth &amp; Strategy Officer.</w:t>
      </w:r>
      <w:r>
        <w:rPr>
          <w:rFonts w:ascii="Calibri" w:hAnsi="Calibri"/>
          <w:color w:val="525866"/>
          <w:sz w:val="22"/>
        </w:rPr>
        <w:t xml:space="preserve"> The Board appointed Chris Hyder (age 51) as EVP and COO, with a base salary increase to $800,000 and a $4M RSU grant vesting in three years. Nina Barton, formerly EVP and Group President – Care &amp; Connection, was appointed EVP and Chief Growth &amp; Strategy Officer. </w:t>
      </w:r>
      <w:r>
        <w:rPr>
          <w:rFonts w:ascii="Calibri" w:hAnsi="Calibri"/>
          <w:i/>
          <w:color w:val="525866"/>
          <w:sz w:val="22"/>
        </w:rPr>
        <w:t xml:space="preserve">Implication: </w:t>
      </w:r>
      <w:r>
        <w:rPr>
          <w:rFonts w:ascii="Calibri" w:hAnsi="Calibri"/>
          <w:i/>
          <w:color w:val="525866"/>
          <w:sz w:val="22"/>
        </w:rPr>
        <w:t>Positive signal — the appointments strengthen the operational bench and signal continuity of strategy during the CEO search. Hyder’s COO role in particular provides a clear operational leader for the GOJO integration and FY2027 execution.</w:t>
      </w:r>
    </w:p>
    <w:p>
      <w:pPr>
        <w:pStyle w:val="ListBullet"/>
        <w:ind w:left="360" w:hanging="360"/>
      </w:pPr>
      <w:r>
        <w:rPr>
          <w:rFonts w:ascii="Calibri" w:hAnsi="Calibri"/>
          <w:b/>
          <w:color w:val="525866"/>
          <w:sz w:val="22"/>
        </w:rPr>
        <w:t>May 11, 2026 — Clorox raises $1.5 billion in senior notes.</w:t>
      </w:r>
      <w:r>
        <w:rPr>
          <w:rFonts w:ascii="Calibri" w:hAnsi="Calibri"/>
          <w:color w:val="525866"/>
          <w:sz w:val="22"/>
        </w:rPr>
        <w:t xml:space="preserve"> The company completed a $1.5B senior note offering to finance the GOJO acquisition. </w:t>
      </w:r>
      <w:r>
        <w:rPr>
          <w:rFonts w:ascii="Calibri" w:hAnsi="Calibri"/>
          <w:i/>
          <w:color w:val="525866"/>
          <w:sz w:val="22"/>
        </w:rPr>
        <w:t xml:space="preserve">Implication: </w:t>
      </w:r>
      <w:r>
        <w:rPr>
          <w:rFonts w:ascii="Calibri" w:hAnsi="Calibri"/>
          <w:i/>
          <w:color w:val="525866"/>
          <w:sz w:val="22"/>
        </w:rPr>
        <w:t>Confirms the financing structure for GOJO; incremental interest expense of ~$110M above the prior $100M run rate expected in FY2027, a headwind to EPS recovery.</w:t>
      </w:r>
    </w:p>
    <w:p>
      <w:pPr>
        <w:pStyle w:val="ListBullet"/>
        <w:ind w:left="360" w:hanging="360"/>
      </w:pPr>
      <w:r>
        <w:rPr>
          <w:rFonts w:ascii="Calibri" w:hAnsi="Calibri"/>
          <w:b/>
          <w:color w:val="525866"/>
          <w:sz w:val="22"/>
        </w:rPr>
        <w:t>April 1, 2026 — GOJO Industries acquisition closed.</w:t>
      </w:r>
      <w:r>
        <w:rPr>
          <w:rFonts w:ascii="Calibri" w:hAnsi="Calibri"/>
          <w:color w:val="525866"/>
          <w:sz w:val="22"/>
        </w:rPr>
        <w:t xml:space="preserve"> The ~$800M GOJO business (Purell brand, ~80% B2B / 20% retail, growing mid-single digits) was integrated into Clorox as “Clorox Purell,” headquartered in Akron, Ohio, with the full management team retained. </w:t>
      </w:r>
      <w:r>
        <w:rPr>
          <w:rFonts w:ascii="Calibri" w:hAnsi="Calibri"/>
          <w:i/>
          <w:color w:val="525866"/>
          <w:sz w:val="22"/>
        </w:rPr>
        <w:t xml:space="preserve">Implication: </w:t>
      </w:r>
      <w:r>
        <w:rPr>
          <w:rFonts w:ascii="Calibri" w:hAnsi="Calibri"/>
          <w:i/>
          <w:color w:val="525866"/>
          <w:sz w:val="22"/>
        </w:rPr>
        <w:t>Adds ~$200M to Q4 net sales (~10% for the quarter); EBITDA-neutral and EPS-neutral in year one; at least $50M in run-rate cost synergies targeted beginning year two. One-time inventory step-up charges (~150 bps of Q4 gross margin) are the key near-term drag.</w:t>
      </w:r>
    </w:p>
    <w:p>
      <w:pPr>
        <w:pStyle w:val="ListBullet"/>
        <w:ind w:left="360" w:hanging="360"/>
      </w:pPr>
      <w:r>
        <w:rPr>
          <w:rFonts w:ascii="Calibri" w:hAnsi="Calibri"/>
          <w:b/>
          <w:color w:val="525866"/>
          <w:sz w:val="22"/>
        </w:rPr>
        <w:t>August 2, 2026 — Oil prices fall sharply on Trump’s Iran deal announcement.</w:t>
      </w:r>
      <w:r>
        <w:rPr>
          <w:rFonts w:ascii="Calibri" w:hAnsi="Calibri"/>
          <w:color w:val="525866"/>
          <w:sz w:val="22"/>
        </w:rPr>
        <w:t xml:space="preserve"> President Trump announced he called off a planned strike on Iran after receiving a request from Iran and other Middle Eastern countries, with “the perimeters of a deal agreed to.” Brent crude fell ~4.4% to ~$84/barrel. </w:t>
      </w:r>
      <w:r>
        <w:rPr>
          <w:rFonts w:ascii="Calibri" w:hAnsi="Calibri"/>
          <w:i/>
          <w:color w:val="525866"/>
          <w:sz w:val="22"/>
        </w:rPr>
        <w:t xml:space="preserve">Implication: </w:t>
      </w:r>
      <w:r>
        <w:rPr>
          <w:rFonts w:ascii="Calibri" w:hAnsi="Calibri"/>
          <w:i/>
          <w:color w:val="525866"/>
          <w:sz w:val="22"/>
        </w:rPr>
        <w:t>Potentially significant positive for CLX’s FY2027 cost outlook — management guided Q4 at ~$100/barrel oil; if the de-escalation holds, the FY2027 energy cost headwind could be materially lower than feared, which would be a key positive catalyst on the August 3 call.</w:t>
      </w:r>
    </w:p>
    <w:p>
      <w:pPr>
        <w:pStyle w:val="ListBullet"/>
        <w:ind w:left="360" w:hanging="360"/>
      </w:pPr>
      <w:r>
        <w:rPr>
          <w:rFonts w:ascii="Calibri" w:hAnsi="Calibri"/>
          <w:b/>
          <w:color w:val="525866"/>
          <w:sz w:val="22"/>
        </w:rPr>
        <w:t>July 31, 2026 — Colgate-Palmolive (CL) reports Q2 2026 earnings beat and raises FY guidance.</w:t>
      </w:r>
      <w:r>
        <w:rPr>
          <w:rFonts w:ascii="Calibri" w:hAnsi="Calibri"/>
          <w:color w:val="525866"/>
          <w:sz w:val="22"/>
        </w:rPr>
        <w:t xml:space="preserve"> CL reported EPS of $0.99 vs. $0.95 consensus, with organic revenue growth of +2.5% in line with consensus. Raised full-year EPS guidance to ~+5% growth (from prior +1–5%). </w:t>
      </w:r>
      <w:r>
        <w:rPr>
          <w:rFonts w:ascii="Calibri" w:hAnsi="Calibri"/>
          <w:i/>
          <w:color w:val="525866"/>
          <w:sz w:val="22"/>
        </w:rPr>
        <w:t xml:space="preserve">Implication: </w:t>
      </w:r>
      <w:r>
        <w:rPr>
          <w:rFonts w:ascii="Calibri" w:hAnsi="Calibri"/>
          <w:i/>
          <w:color w:val="525866"/>
          <w:sz w:val="22"/>
        </w:rPr>
        <w:t>Positive read-through for consumer staples broadly — suggests the category environment is not deteriorating further and that cost management is achievable.</w:t>
      </w:r>
    </w:p>
    <w:p>
      <w:pPr>
        <w:pStyle w:val="ListBullet"/>
        <w:ind w:left="360" w:hanging="360"/>
      </w:pPr>
      <w:r>
        <w:rPr>
          <w:rFonts w:ascii="Calibri" w:hAnsi="Calibri"/>
          <w:b/>
          <w:color w:val="525866"/>
          <w:sz w:val="22"/>
        </w:rPr>
        <w:t>July 31, 2026 — Church &amp; Dwight (CHD) reports strong Q2 2026 beat and raises guidance.</w:t>
      </w:r>
      <w:r>
        <w:rPr>
          <w:rFonts w:ascii="Calibri" w:hAnsi="Calibri"/>
          <w:color w:val="525866"/>
          <w:sz w:val="22"/>
        </w:rPr>
        <w:t xml:space="preserve"> CHD reported organic sales growth of +5.8% vs. +3.4% consensus; EPS in line at $0.89. Raised FY2026 organic sales guidance to +4–5% (from +3–4%) and adj. EPS growth to +6–8% (from +5–8%). </w:t>
      </w:r>
      <w:r>
        <w:rPr>
          <w:rFonts w:ascii="Calibri" w:hAnsi="Calibri"/>
          <w:i/>
          <w:color w:val="525866"/>
          <w:sz w:val="22"/>
        </w:rPr>
        <w:t xml:space="preserve">Implication: </w:t>
      </w:r>
      <w:r>
        <w:rPr>
          <w:rFonts w:ascii="Calibri" w:hAnsi="Calibri"/>
          <w:i/>
          <w:color w:val="525866"/>
          <w:sz w:val="22"/>
        </w:rPr>
        <w:t>Positive read-through for category health and consumer resilience; CHD’s ability to raise guidance despite similar Middle East cost headwinds (~$30M) suggests the cost environment is manageable with productivity offsets.</w:t>
      </w:r>
    </w:p>
    <w:p>
      <w:pPr>
        <w:pStyle w:val="ListBullet"/>
        <w:ind w:left="360" w:hanging="360"/>
      </w:pPr>
      <w:r>
        <w:rPr>
          <w:rFonts w:ascii="Calibri" w:hAnsi="Calibri"/>
          <w:b/>
          <w:color w:val="525866"/>
          <w:sz w:val="22"/>
        </w:rPr>
        <w:t>July 29, 2026 — Procter &amp; Gamble (PG) reports mixed Q4 FY2026 results; guides FY2027 cautiously.</w:t>
      </w:r>
      <w:r>
        <w:rPr>
          <w:rFonts w:ascii="Calibri" w:hAnsi="Calibri"/>
          <w:color w:val="525866"/>
          <w:sz w:val="22"/>
        </w:rPr>
        <w:t xml:space="preserve"> PG reported core EPS of $1.43 vs. $1.41 consensus but organic sales were flat vs. +1.85% expected. FY2027 guidance: core EPS $6.89–$7.11 (midpoint $7.00 vs. $7.02 consensus), organic sales +1–3%. Flagged ~$1B after-tax cost headwind from Middle East energy/supply chain in FY2027. </w:t>
      </w:r>
      <w:r>
        <w:rPr>
          <w:rFonts w:ascii="Calibri" w:hAnsi="Calibri"/>
          <w:i/>
          <w:color w:val="525866"/>
          <w:sz w:val="22"/>
        </w:rPr>
        <w:t xml:space="preserve">Implication: </w:t>
      </w:r>
      <w:r>
        <w:rPr>
          <w:rFonts w:ascii="Calibri" w:hAnsi="Calibri"/>
          <w:i/>
          <w:color w:val="525866"/>
          <w:sz w:val="22"/>
        </w:rPr>
        <w:t>Mixed read-through — the $1B cost headwind at PG’s scale implies proportionally significant pressure for CLX; however, PG’s ability to guide to flat-to-positive EPS growth despite these headwinds is somewhat reassuring for the sector.</w:t>
      </w:r>
    </w:p>
    <w:p>
      <w:r>
        <w:rPr>
          <w:rFonts w:ascii="Calibri" w:hAnsi="Calibri"/>
          <w:i/>
          <w:color w:val="525866"/>
          <w:sz w:val="22"/>
        </w:rPr>
        <w:t>Sources: CLX 8-K (Jun 17, 2026); CLX Press Release (May 28, 2026); CLX 8-K (May 11, 2026); CLX Q3 FY2026 Earnings Release (Apr 30, 2026); News Digest (Aug 2, 2026); CHD 8-K (Jul 31, 2026); CL 8-K (Jul 31, 2026); PG 8-K (Jul 29, 2026).</w:t>
      </w:r>
    </w:p>
    <w:p>
      <w:r>
        <w:br w:type="page"/>
      </w:r>
    </w:p>
    <w:p>
      <w:pPr>
        <w:pStyle w:val="Heading2"/>
      </w:pPr>
      <w:r>
        <w:rPr>
          <w:rFonts w:ascii="Calibri" w:hAnsi="Calibri"/>
          <w:b/>
          <w:color w:val="3B4259"/>
          <w:sz w:val="28"/>
        </w:rPr>
        <w:t>7. Peer Commentary / Read-Throughs — Last 60 Days</w:t>
      </w:r>
    </w:p>
    <w:p>
      <w:r>
        <w:rPr>
          <w:rFonts w:ascii="Calibri" w:hAnsi="Calibri"/>
          <w:b/>
          <w:color w:val="525866"/>
          <w:sz w:val="22"/>
        </w:rPr>
        <w:t xml:space="preserve">Key Takeaway: </w:t>
      </w:r>
      <w:r>
        <w:rPr>
          <w:rFonts w:ascii="Calibri" w:hAnsi="Calibri"/>
          <w:color w:val="525866"/>
          <w:sz w:val="22"/>
        </w:rPr>
        <w:t xml:space="preserve">Peer commentary from the June 3 – August 2 window is broadly constructive on category health and consumer resilience, but consistently flags </w:t>
      </w:r>
      <w:r>
        <w:rPr>
          <w:rFonts w:ascii="Calibri" w:hAnsi="Calibri"/>
          <w:b/>
          <w:color w:val="525866"/>
          <w:sz w:val="22"/>
        </w:rPr>
        <w:t>Middle East energy/supply chain costs as a material and persistent headwind into the second half of calendar 2026 and into 2027</w:t>
      </w:r>
      <w:r>
        <w:rPr>
          <w:rFonts w:ascii="Calibri" w:hAnsi="Calibri"/>
          <w:color w:val="525866"/>
          <w:sz w:val="22"/>
        </w:rPr>
        <w:t>. The most actionable read-throughs for CLX are: (1) CHD’s ability to raise guidance despite similar cost pressures — suggesting productivity offsets are achievable; (2) PG’s explicit $1B FY2027 cost headwind framing — which sets a sobering benchmark for CLX’s own FY2027 cost outlook; and (3) the promotional intensity commentary from both CHD and PG, which is relevant to CLX’s litter and food category share recovery.</w:t>
      </w:r>
    </w:p>
    <w:p>
      <w:r>
        <w:rPr>
          <w:rFonts w:ascii="Calibri" w:hAnsi="Calibri"/>
          <w:b/>
          <w:i/>
          <w:color w:val="525866"/>
          <w:sz w:val="22"/>
        </w:rPr>
        <w:t xml:space="preserve">Note on scope: </w:t>
      </w:r>
      <w:r>
        <w:rPr>
          <w:rFonts w:ascii="Calibri" w:hAnsi="Calibri"/>
          <w:i/>
          <w:color w:val="525866"/>
          <w:sz w:val="22"/>
        </w:rPr>
        <w:t>Only forward-looking commentary applicable to each peer’s then-current or next unreported period is included below. Retrospective commentary about already-reported quarters has been excluded.</w:t>
      </w:r>
    </w:p>
    <w:p>
      <w:pPr>
        <w:pStyle w:val="Heading3"/>
      </w:pPr>
      <w:r>
        <w:rPr>
          <w:rFonts w:ascii="Calibri" w:hAnsi="Calibri"/>
          <w:b/>
          <w:color w:val="3B4259"/>
          <w:sz w:val="24"/>
        </w:rPr>
        <w:t>Church &amp; Dwight (CHD) — Q2 FY2026 Earnings Call, July 31, 2026</w:t>
      </w:r>
    </w:p>
    <w:p>
      <w:r>
        <w:rPr>
          <w:rFonts w:ascii="Calibri" w:hAnsi="Calibri"/>
          <w:b/>
          <w:color w:val="525866"/>
          <w:sz w:val="22"/>
        </w:rPr>
        <w:t xml:space="preserve">Relevance to CLX: </w:t>
      </w:r>
      <w:r>
        <w:rPr>
          <w:rFonts w:ascii="Calibri" w:hAnsi="Calibri"/>
          <w:color w:val="525866"/>
          <w:sz w:val="22"/>
        </w:rPr>
        <w:t>CHD competes directly with CLX in cat litter (Arm &amp; Hammer vs. Fresh Step), laundry, and personal care. CHD’s Q2 results and H2 2026 guidance are the most directly comparable forward-looking read-through for CLX’s Q4 FY2026 (calendar Q2 2026) and FY2027 setup.</w:t>
      </w:r>
    </w:p>
    <w:p>
      <w:pPr>
        <w:pStyle w:val="ListBullet"/>
        <w:ind w:left="360" w:hanging="360"/>
      </w:pPr>
      <w:r>
        <w:rPr>
          <w:rFonts w:ascii="Calibri" w:hAnsi="Calibri"/>
          <w:b/>
          <w:color w:val="525866"/>
          <w:sz w:val="22"/>
        </w:rPr>
        <w:t xml:space="preserve">Consumer demand resilient; category growth tracking above expectations. </w:t>
      </w:r>
      <w:r>
        <w:rPr>
          <w:rFonts w:ascii="Calibri" w:hAnsi="Calibri"/>
          <w:color w:val="525866"/>
          <w:sz w:val="22"/>
        </w:rPr>
        <w:t xml:space="preserve">CHD reported that “consumption across our largest categories grew at 2.7% in the second quarter, which exceeded our category growth expectations of around 2%.” For H2 2026, CHD is “still assuming around 2% for category growth.” </w:t>
      </w:r>
      <w:r>
        <w:rPr>
          <w:rFonts w:ascii="Calibri" w:hAnsi="Calibri"/>
          <w:i/>
          <w:color w:val="525866"/>
          <w:sz w:val="22"/>
        </w:rPr>
        <w:t xml:space="preserve">CLX read-through: </w:t>
      </w:r>
      <w:r>
        <w:rPr>
          <w:rFonts w:ascii="Calibri" w:hAnsi="Calibri"/>
          <w:i/>
          <w:color w:val="525866"/>
          <w:sz w:val="22"/>
        </w:rPr>
        <w:t>Positive — CLX’s own category growth assumption of “flat to up 1%” for the remainder of FY2026 appears conservative relative to CHD’s experience, suggesting potential upside to CLX’s volume assumptions if category trends hold.</w:t>
      </w:r>
    </w:p>
    <w:p>
      <w:pPr>
        <w:pStyle w:val="ListBullet"/>
        <w:ind w:left="360" w:hanging="360"/>
      </w:pPr>
      <w:r>
        <w:rPr>
          <w:rFonts w:ascii="Calibri" w:hAnsi="Calibri"/>
          <w:b/>
          <w:color w:val="525866"/>
          <w:sz w:val="22"/>
        </w:rPr>
        <w:t xml:space="preserve">Promotional intensity elevated but manageable; tariff refunds funding competitor promotions. </w:t>
      </w:r>
      <w:r>
        <w:rPr>
          <w:rFonts w:ascii="Calibri" w:hAnsi="Calibri"/>
          <w:color w:val="525866"/>
          <w:sz w:val="22"/>
        </w:rPr>
        <w:t xml:space="preserve">CHD noted that in laundry, Henkel was up “1100 basis points” in promotion and Procter was up “almost 200 basis points,” while CHD was “down 300 basis points.” Management’s view: “my belief is a lot of people got tariff refunds and they’re spending it back and trying to drive volume.” In cat litter, “promotional levels declined slightly, they remain at historically high levels.” </w:t>
      </w:r>
      <w:r>
        <w:rPr>
          <w:rFonts w:ascii="Calibri" w:hAnsi="Calibri"/>
          <w:i/>
          <w:color w:val="525866"/>
          <w:sz w:val="22"/>
        </w:rPr>
        <w:t xml:space="preserve">CLX read-through: </w:t>
      </w:r>
      <w:r>
        <w:rPr>
          <w:rFonts w:ascii="Calibri" w:hAnsi="Calibri"/>
          <w:i/>
          <w:color w:val="525866"/>
          <w:sz w:val="22"/>
        </w:rPr>
        <w:t>Cautious — elevated promotional intensity in litter (CLX’s most challenged category) is a direct headwind to Fresh Step’s share recovery. The tariff refund-funded promotion dynamic may be transitory, but it creates near-term noise.</w:t>
      </w:r>
    </w:p>
    <w:p>
      <w:pPr>
        <w:pStyle w:val="ListBullet"/>
        <w:ind w:left="360" w:hanging="360"/>
      </w:pPr>
      <w:r>
        <w:rPr>
          <w:rFonts w:ascii="Calibri" w:hAnsi="Calibri"/>
          <w:b/>
          <w:color w:val="525866"/>
          <w:sz w:val="22"/>
        </w:rPr>
        <w:t xml:space="preserve">Middle East cost headwind quantified at ~$30M; fully mitigated through productivity. </w:t>
      </w:r>
      <w:r>
        <w:rPr>
          <w:rFonts w:ascii="Calibri" w:hAnsi="Calibri"/>
          <w:color w:val="525866"/>
          <w:sz w:val="22"/>
        </w:rPr>
        <w:t xml:space="preserve">CHD’s “latest outlook of approximately $30 million reflects raw materials, transportation costs and various premiums resulting from the conflict in the Middle East,” assuming “crude oil price of approximately $90 a barrel.” Critically, “our teams have acted to fully mitigate this headwind this year through increased productivity.” CHD also expects “approximately $15 million of phase two tariff refund benefits during the second half of 2026.” </w:t>
      </w:r>
      <w:r>
        <w:rPr>
          <w:rFonts w:ascii="Calibri" w:hAnsi="Calibri"/>
          <w:i/>
          <w:color w:val="525866"/>
          <w:sz w:val="22"/>
        </w:rPr>
        <w:t xml:space="preserve">CLX read-through: </w:t>
      </w:r>
      <w:r>
        <w:rPr>
          <w:rFonts w:ascii="Calibri" w:hAnsi="Calibri"/>
          <w:i/>
          <w:color w:val="525866"/>
          <w:sz w:val="22"/>
        </w:rPr>
        <w:t>Mixed — CHD’s ability to fully offset $30M of Middle East costs through productivity is encouraging, but CLX’s Q4 exposure is more concentrated (~$20–25M in a single quarter with no time to deploy mitigations, per management). The tariff refund benefit is not available to CLX in the same way.</w:t>
      </w:r>
    </w:p>
    <w:p>
      <w:pPr>
        <w:pStyle w:val="ListBullet"/>
        <w:ind w:left="360" w:hanging="360"/>
      </w:pPr>
      <w:r>
        <w:rPr>
          <w:rFonts w:ascii="Calibri" w:hAnsi="Calibri"/>
          <w:b/>
          <w:color w:val="525866"/>
          <w:sz w:val="22"/>
        </w:rPr>
        <w:t xml:space="preserve">Gross margin expansion guided at +100–120 bps for FY2026; back-half acceleration expected. </w:t>
      </w:r>
      <w:r>
        <w:rPr>
          <w:rFonts w:ascii="Calibri" w:hAnsi="Calibri"/>
          <w:color w:val="525866"/>
          <w:sz w:val="22"/>
        </w:rPr>
        <w:t xml:space="preserve">CHD now expects “adjusted gross margin expansion of approximately 100 to 120 basis points for the year,” implying “the gross margin will expand over 100 basis points in the back half of the year.” </w:t>
      </w:r>
      <w:r>
        <w:rPr>
          <w:rFonts w:ascii="Calibri" w:hAnsi="Calibri"/>
          <w:i/>
          <w:color w:val="525866"/>
          <w:sz w:val="22"/>
        </w:rPr>
        <w:t xml:space="preserve">CLX read-through: </w:t>
      </w:r>
      <w:r>
        <w:rPr>
          <w:rFonts w:ascii="Calibri" w:hAnsi="Calibri"/>
          <w:i/>
          <w:color w:val="525866"/>
          <w:sz w:val="22"/>
        </w:rPr>
        <w:t>Stark contrast — CLX is guiding gross margin down 250–300 bps for FY2026, driven by ERP-specific and GOJO-specific headwinds that CHD does not face. The divergence underscores that CLX’s gross margin pressure is largely company-specific rather than sector-wide.</w:t>
      </w:r>
    </w:p>
    <w:p>
      <w:pPr>
        <w:pStyle w:val="ListBullet"/>
        <w:ind w:left="360" w:hanging="360"/>
      </w:pPr>
      <w:r>
        <w:rPr>
          <w:rFonts w:ascii="Calibri" w:hAnsi="Calibri"/>
          <w:b/>
          <w:color w:val="525866"/>
          <w:sz w:val="22"/>
        </w:rPr>
        <w:t>H2 2026 organic growth and EPS guidance raised; Q3 2026 guidance of ~3% organic growth and $0.89 EPS.</w:t>
      </w:r>
      <w:r>
        <w:rPr>
          <w:rFonts w:ascii="Calibri" w:hAnsi="Calibri"/>
          <w:color w:val="525866"/>
          <w:sz w:val="22"/>
        </w:rPr>
        <w:t xml:space="preserve"> CHD raised FY2026 organic sales to +4–5% (from +3–4%) and adj. EPS growth to +6–8% (from +5–8%). For Q3 2026 (calendar), CHD guided organic growth of ~3% and adj. EPS of ~$0.89. </w:t>
      </w:r>
      <w:r>
        <w:rPr>
          <w:rFonts w:ascii="Calibri" w:hAnsi="Calibri"/>
          <w:i/>
          <w:color w:val="525866"/>
          <w:sz w:val="22"/>
        </w:rPr>
        <w:t xml:space="preserve">CLX read-through: </w:t>
      </w:r>
      <w:r>
        <w:rPr>
          <w:rFonts w:ascii="Calibri" w:hAnsi="Calibri"/>
          <w:i/>
          <w:color w:val="525866"/>
          <w:sz w:val="22"/>
        </w:rPr>
        <w:t>Positive for sector sentiment — a peer raising guidance in the same macro environment reduces the risk that CLX’s Q4 print will be impacted by a broad category deterioration.</w:t>
      </w:r>
    </w:p>
    <w:p>
      <w:r>
        <w:rPr>
          <w:rFonts w:ascii="Calibri" w:hAnsi="Calibri"/>
          <w:i/>
          <w:color w:val="525866"/>
          <w:sz w:val="22"/>
        </w:rPr>
        <w:t>Source: CHD Q2 FY2026 Earnings Call Transcript (July 31, 2026).</w:t>
      </w:r>
    </w:p>
    <w:p>
      <w:pPr>
        <w:pStyle w:val="Heading3"/>
      </w:pPr>
      <w:r>
        <w:rPr>
          <w:rFonts w:ascii="Calibri" w:hAnsi="Calibri"/>
          <w:b/>
          <w:color w:val="3B4259"/>
          <w:sz w:val="24"/>
        </w:rPr>
        <w:t>Procter &amp; Gamble (PG) — Q4 FY2026 Earnings Call, July 29, 2026</w:t>
      </w:r>
    </w:p>
    <w:p>
      <w:r>
        <w:rPr>
          <w:rFonts w:ascii="Calibri" w:hAnsi="Calibri"/>
          <w:b/>
          <w:color w:val="525866"/>
          <w:sz w:val="22"/>
        </w:rPr>
        <w:t xml:space="preserve">Relevance to CLX: </w:t>
      </w:r>
      <w:r>
        <w:rPr>
          <w:rFonts w:ascii="Calibri" w:hAnsi="Calibri"/>
          <w:color w:val="525866"/>
          <w:sz w:val="22"/>
        </w:rPr>
        <w:t>PG is the largest CPG company and competes with CLX in cleaning, household, and personal care. PG’s FY2027 guidance (beginning July 1, 2026) is the most directly relevant forward-looking read-through for CLX’s FY2027 setup, particularly on cost headwinds and category growth assumptions.</w:t>
      </w:r>
    </w:p>
    <w:p>
      <w:pPr>
        <w:pStyle w:val="ListBullet"/>
        <w:ind w:left="360" w:hanging="360"/>
      </w:pPr>
      <w:r>
        <w:rPr>
          <w:rFonts w:ascii="Calibri" w:hAnsi="Calibri"/>
          <w:b/>
          <w:color w:val="525866"/>
          <w:sz w:val="22"/>
        </w:rPr>
        <w:t xml:space="preserve">FY2027 category growth assumed at 1–3% local currency value growth; current run rate “roughly in the middle.” </w:t>
      </w:r>
      <w:r>
        <w:rPr>
          <w:rFonts w:ascii="Calibri" w:hAnsi="Calibri"/>
          <w:color w:val="525866"/>
          <w:sz w:val="22"/>
        </w:rPr>
        <w:t xml:space="preserve">PG expects “markets in which it competes to deliver local currency value growth in the range of 1% to 3% for the year.” The lower end accounts for “potential additional softness in underlying market growth rates.” </w:t>
      </w:r>
      <w:r>
        <w:rPr>
          <w:rFonts w:ascii="Calibri" w:hAnsi="Calibri"/>
          <w:i/>
          <w:color w:val="525866"/>
          <w:sz w:val="22"/>
        </w:rPr>
        <w:t xml:space="preserve">CLX read-through: </w:t>
      </w:r>
      <w:r>
        <w:rPr>
          <w:rFonts w:ascii="Calibri" w:hAnsi="Calibri"/>
          <w:i/>
          <w:color w:val="525866"/>
          <w:sz w:val="22"/>
        </w:rPr>
        <w:t>Consistent with CLX’s own “flat to up 1%” category growth assumption for FY2026 — suggests the category environment is not expected to deteriorate materially, but also not to accelerate meaningfully. CLX’s FY2027 organic growth recovery will need to be driven by share gains and the ERP reversal tailwind rather than category expansion.</w:t>
      </w:r>
    </w:p>
    <w:p>
      <w:pPr>
        <w:pStyle w:val="ListBullet"/>
        <w:ind w:left="360" w:hanging="360"/>
      </w:pPr>
      <w:r>
        <w:rPr>
          <w:rFonts w:ascii="Calibri" w:hAnsi="Calibri"/>
          <w:b/>
          <w:color w:val="525866"/>
          <w:sz w:val="22"/>
        </w:rPr>
        <w:t>~$1 billion after-tax cost headwind from Middle East energy/supply chain in FY2027; concentrated in H1.</w:t>
      </w:r>
      <w:r>
        <w:rPr>
          <w:rFonts w:ascii="Calibri" w:hAnsi="Calibri"/>
          <w:color w:val="525866"/>
          <w:sz w:val="22"/>
        </w:rPr>
        <w:t xml:space="preserve"> PG flagged “approximately $1 billion after tax” of cost headwinds in FY2027 from “higher raw materials, energy, transportation costs, and other premiums stemming from the conflict in the Middle East,” assuming “an effective Brent crude oil price of $90 a barrel.” Critically, “most of this impact is anticipated to be felt in the first half of fiscal 2027, as these materials were produced when underlying oil prices were above $100 a barrel.” PG also noted that “non-commodity supply chain elements such as ocean freight, trucking surcharges, supplier inflation, and force majeure premiums” are adding to the cost impact at a “somewhat lower oil price.” </w:t>
      </w:r>
      <w:r>
        <w:rPr>
          <w:rFonts w:ascii="Calibri" w:hAnsi="Calibri"/>
          <w:i/>
          <w:color w:val="525866"/>
          <w:sz w:val="22"/>
        </w:rPr>
        <w:t xml:space="preserve">CLX read-through: </w:t>
      </w:r>
      <w:r>
        <w:rPr>
          <w:rFonts w:ascii="Calibri" w:hAnsi="Calibri"/>
          <w:i/>
          <w:color w:val="525866"/>
          <w:sz w:val="22"/>
        </w:rPr>
        <w:t>Directly relevant and cautionary — CLX’s FY2027 cost headwind from Middle East energy is likely to be proportionally significant. The H1 FY2027 concentration (CLX’s Q1 and Q2, i.e., July–December 2026) is a key risk to watch in the FY2027 guidance framework. However, as of August 2, Brent has pulled back to ~$84/barrel on Iran deal news, which could reduce this headwind materially.</w:t>
      </w:r>
    </w:p>
    <w:p>
      <w:pPr>
        <w:pStyle w:val="ListBullet"/>
        <w:ind w:left="360" w:hanging="360"/>
      </w:pPr>
      <w:r>
        <w:rPr>
          <w:rFonts w:ascii="Calibri" w:hAnsi="Calibri"/>
          <w:b/>
          <w:color w:val="525866"/>
          <w:sz w:val="22"/>
        </w:rPr>
        <w:t>Promotional intensity returning to pre-COVID levels; volume-price balance shifting.</w:t>
      </w:r>
      <w:r>
        <w:rPr>
          <w:rFonts w:ascii="Calibri" w:hAnsi="Calibri"/>
          <w:color w:val="525866"/>
          <w:sz w:val="22"/>
        </w:rPr>
        <w:t xml:space="preserve"> PG observed “promotion levels increasing back towards pre-COVID levels, with Europe seeing a volume on promotion increase of about five points recently.” PG’s strategy is to “continue to price with innovation, primarily using promotion to drive trial rather than as a sustainable business-building strategy.” </w:t>
      </w:r>
      <w:r>
        <w:rPr>
          <w:rFonts w:ascii="Calibri" w:hAnsi="Calibri"/>
          <w:i/>
          <w:color w:val="525866"/>
          <w:sz w:val="22"/>
        </w:rPr>
        <w:t xml:space="preserve">CLX read-through: </w:t>
      </w:r>
      <w:r>
        <w:rPr>
          <w:rFonts w:ascii="Calibri" w:hAnsi="Calibri"/>
          <w:i/>
          <w:color w:val="525866"/>
          <w:sz w:val="22"/>
        </w:rPr>
        <w:t>Relevant to CLX’s litter and food category dynamics — the return to pre-COVID promotional levels is consistent with the “high promotional intensity and deep discounting from competitors” that CLX flagged in food at the Q3 call. CLX’s RGM (Revenue Growth Management) work and targeted price investments (e.g., the Glad 80-count item) are the right strategic response.</w:t>
      </w:r>
    </w:p>
    <w:p>
      <w:pPr>
        <w:pStyle w:val="ListBullet"/>
        <w:ind w:left="360" w:hanging="360"/>
      </w:pPr>
      <w:r>
        <w:rPr>
          <w:rFonts w:ascii="Calibri" w:hAnsi="Calibri"/>
          <w:b/>
          <w:color w:val="525866"/>
          <w:sz w:val="22"/>
        </w:rPr>
        <w:t>FY2027 core EPS guided $6.89–$7.11 (flat to +3% vs. FY2026); organic sales +1–3%.</w:t>
      </w:r>
      <w:r>
        <w:rPr>
          <w:rFonts w:ascii="Calibri" w:hAnsi="Calibri"/>
          <w:color w:val="525866"/>
          <w:sz w:val="22"/>
        </w:rPr>
        <w:t xml:space="preserve"> PG guided FY2027 core EPS of $6.89–$7.11 (midpoint $7.00 vs. $7.02 consensus) and organic sales growth of +1–3%. The company expects “greater momentum in the back half of fiscal 2027” as cost headwinds anniversary and strategic interventions gain traction. </w:t>
      </w:r>
      <w:r>
        <w:rPr>
          <w:rFonts w:ascii="Calibri" w:hAnsi="Calibri"/>
          <w:i/>
          <w:color w:val="525866"/>
          <w:sz w:val="22"/>
        </w:rPr>
        <w:t xml:space="preserve">CLX read-through: </w:t>
      </w:r>
      <w:r>
        <w:rPr>
          <w:rFonts w:ascii="Calibri" w:hAnsi="Calibri"/>
          <w:i/>
          <w:color w:val="525866"/>
          <w:sz w:val="22"/>
        </w:rPr>
        <w:t>The “back-half weighted” recovery narrative is directly analogous to CLX’s own FY2027 setup, where the ERP reversal tailwind and cost savings acceleration are expected to drive improvement. PG’s ability to guide to positive EPS growth despite $1B of cost headwinds is a constructive signal for the sector.</w:t>
      </w:r>
    </w:p>
    <w:p>
      <w:pPr>
        <w:pStyle w:val="ListBullet"/>
        <w:ind w:left="360" w:hanging="360"/>
      </w:pPr>
      <w:r>
        <w:rPr>
          <w:rFonts w:ascii="Calibri" w:hAnsi="Calibri"/>
          <w:b/>
          <w:color w:val="525866"/>
          <w:sz w:val="22"/>
        </w:rPr>
        <w:t>Record cost of goods productivity targeted again in FY2027.</w:t>
      </w:r>
      <w:r>
        <w:rPr>
          <w:rFonts w:ascii="Calibri" w:hAnsi="Calibri"/>
          <w:color w:val="525866"/>
          <w:sz w:val="22"/>
        </w:rPr>
        <w:t xml:space="preserve"> PG plans to “deliver record cost of goods productivity again in fiscal 2027” to offset cost headwinds while maintaining investment in the business. </w:t>
      </w:r>
      <w:r>
        <w:rPr>
          <w:rFonts w:ascii="Calibri" w:hAnsi="Calibri"/>
          <w:i/>
          <w:color w:val="525866"/>
          <w:sz w:val="22"/>
        </w:rPr>
        <w:t xml:space="preserve">CLX read-through: </w:t>
      </w:r>
      <w:r>
        <w:rPr>
          <w:rFonts w:ascii="Calibri" w:hAnsi="Calibri"/>
          <w:i/>
          <w:color w:val="525866"/>
          <w:sz w:val="22"/>
        </w:rPr>
        <w:t>Consistent with CLX’s own messaging around accelerating cost savings into FY2027 — the delayed cost savings from FY2026 ERP stabilization have “strengthened the cost savings pipeline for next year,” per CFO Bellet at the Deutsche Bank conference.</w:t>
      </w:r>
    </w:p>
    <w:p>
      <w:r>
        <w:rPr>
          <w:rFonts w:ascii="Calibri" w:hAnsi="Calibri"/>
          <w:i/>
          <w:color w:val="525866"/>
          <w:sz w:val="22"/>
        </w:rPr>
        <w:t>Source: PG Q4 FY2026 Earnings Call Transcript (July 29, 2026).</w:t>
      </w:r>
    </w:p>
    <w:p>
      <w:pPr>
        <w:pStyle w:val="Heading3"/>
      </w:pPr>
      <w:r>
        <w:rPr>
          <w:rFonts w:ascii="Calibri" w:hAnsi="Calibri"/>
          <w:b/>
          <w:color w:val="3B4259"/>
          <w:sz w:val="24"/>
        </w:rPr>
        <w:t>Colgate-Palmolive (CL) — Q2 2026 Earnings, July 31, 2026</w:t>
      </w:r>
    </w:p>
    <w:p>
      <w:r>
        <w:rPr>
          <w:rFonts w:ascii="Calibri" w:hAnsi="Calibri"/>
          <w:b/>
          <w:color w:val="525866"/>
          <w:sz w:val="22"/>
        </w:rPr>
        <w:t xml:space="preserve">Relevance to CLX: </w:t>
      </w:r>
      <w:r>
        <w:rPr>
          <w:rFonts w:ascii="Calibri" w:hAnsi="Calibri"/>
          <w:color w:val="525866"/>
          <w:sz w:val="22"/>
        </w:rPr>
        <w:t>CL competes with CLX in cleaning and personal care and is a useful benchmark for gross margin management and pricing power in the current environment.</w:t>
      </w:r>
    </w:p>
    <w:p>
      <w:pPr>
        <w:pStyle w:val="ListBullet"/>
        <w:ind w:left="360" w:hanging="360"/>
      </w:pPr>
      <w:r>
        <w:rPr>
          <w:rFonts w:ascii="Calibri" w:hAnsi="Calibri"/>
          <w:b/>
          <w:color w:val="525866"/>
          <w:sz w:val="22"/>
        </w:rPr>
        <w:t>Q2 2026 EPS beat ($0.99 vs. $0.95 consensus); organic revenue +2.5% in line.</w:t>
      </w:r>
      <w:r>
        <w:rPr>
          <w:rFonts w:ascii="Calibri" w:hAnsi="Calibri"/>
          <w:color w:val="525866"/>
          <w:sz w:val="22"/>
        </w:rPr>
        <w:t xml:space="preserve"> CL raised full-year EPS guidance to ~+5% growth (from prior +1–5%). </w:t>
      </w:r>
      <w:r>
        <w:rPr>
          <w:rFonts w:ascii="Calibri" w:hAnsi="Calibri"/>
          <w:i/>
          <w:color w:val="525866"/>
          <w:sz w:val="22"/>
        </w:rPr>
        <w:t xml:space="preserve">CLX read-through: </w:t>
      </w:r>
      <w:r>
        <w:rPr>
          <w:rFonts w:ascii="Calibri" w:hAnsi="Calibri"/>
          <w:i/>
          <w:color w:val="525866"/>
          <w:sz w:val="22"/>
        </w:rPr>
        <w:t>Positive for sector sentiment — CL’s ability to beat EPS and raise guidance in the same macro environment as CLX suggests that cost management and pricing power are achievable for well-positioned CPG companies. CL’s gross margin management capabilities are a benchmark for what CLX’s holistic margin management program is targeting.</w:t>
      </w:r>
    </w:p>
    <w:p>
      <w:r>
        <w:rPr>
          <w:rFonts w:ascii="Calibri" w:hAnsi="Calibri"/>
          <w:i/>
          <w:color w:val="525866"/>
          <w:sz w:val="22"/>
        </w:rPr>
        <w:t>Source: CL 8-K Earnings Release (July 31, 2026); News Digest (July 31, 2026).</w:t>
      </w:r>
    </w:p>
    <w:p>
      <w:pPr>
        <w:pStyle w:val="Heading3"/>
      </w:pPr>
      <w:r>
        <w:rPr>
          <w:rFonts w:ascii="Calibri" w:hAnsi="Calibri"/>
          <w:b/>
          <w:color w:val="3B4259"/>
          <w:sz w:val="24"/>
        </w:rPr>
        <w:t>Unilever (UL) — Q2 2026 Results, July 28, 2026</w:t>
      </w:r>
    </w:p>
    <w:p>
      <w:r>
        <w:rPr>
          <w:rFonts w:ascii="Calibri" w:hAnsi="Calibri"/>
          <w:b/>
          <w:color w:val="525866"/>
          <w:sz w:val="22"/>
        </w:rPr>
        <w:t xml:space="preserve">Relevance to CLX: </w:t>
      </w:r>
      <w:r>
        <w:rPr>
          <w:rFonts w:ascii="Calibri" w:hAnsi="Calibri"/>
          <w:color w:val="525866"/>
          <w:sz w:val="22"/>
        </w:rPr>
        <w:t>Unilever competes with CLX in cleaning and personal care internationally and is a useful read-through on global category trends and consumer behavior.</w:t>
      </w:r>
    </w:p>
    <w:p>
      <w:pPr>
        <w:pStyle w:val="ListBullet"/>
        <w:ind w:left="360" w:hanging="360"/>
      </w:pPr>
      <w:r>
        <w:rPr>
          <w:rFonts w:ascii="Calibri" w:hAnsi="Calibri"/>
          <w:b/>
          <w:color w:val="525866"/>
          <w:sz w:val="22"/>
        </w:rPr>
        <w:t>Q2 2026 organic revenue growth of +5.8%, exceeding Street expectations of +4.15%, with impressive volumes.</w:t>
      </w:r>
      <w:r>
        <w:rPr>
          <w:rFonts w:ascii="Calibri" w:hAnsi="Calibri"/>
          <w:color w:val="525866"/>
          <w:sz w:val="22"/>
        </w:rPr>
        <w:t xml:space="preserve"> Unilever tweaked its full-year guidance higher. </w:t>
      </w:r>
      <w:r>
        <w:rPr>
          <w:rFonts w:ascii="Calibri" w:hAnsi="Calibri"/>
          <w:i/>
          <w:color w:val="525866"/>
          <w:sz w:val="22"/>
        </w:rPr>
        <w:t xml:space="preserve">CLX read-through: </w:t>
      </w:r>
      <w:r>
        <w:rPr>
          <w:rFonts w:ascii="Calibri" w:hAnsi="Calibri"/>
          <w:i/>
          <w:color w:val="525866"/>
          <w:sz w:val="22"/>
        </w:rPr>
        <w:t>Positive for global category health — Unilever’s volume-driven beat suggests consumer demand for branded household and personal care products remains resilient globally, consistent with CLX’s own observation that “private label shares have been flat over the majority of our categories.”</w:t>
      </w:r>
    </w:p>
    <w:p>
      <w:r>
        <w:rPr>
          <w:rFonts w:ascii="Calibri" w:hAnsi="Calibri"/>
          <w:i/>
          <w:color w:val="525866"/>
          <w:sz w:val="22"/>
        </w:rPr>
        <w:t>Source: News Digest (July 28, 2026).</w:t>
      </w:r>
    </w:p>
    <w:p>
      <w:pPr>
        <w:pStyle w:val="Heading3"/>
      </w:pPr>
      <w:r>
        <w:rPr>
          <w:rFonts w:ascii="Calibri" w:hAnsi="Calibri"/>
          <w:b/>
          <w:color w:val="3B4259"/>
          <w:sz w:val="24"/>
        </w:rPr>
        <w:t>Mondelez (MDLZ) — Q2 2026 Earnings, July 28–29, 2026</w:t>
      </w:r>
    </w:p>
    <w:p>
      <w:r>
        <w:rPr>
          <w:rFonts w:ascii="Calibri" w:hAnsi="Calibri"/>
          <w:b/>
          <w:color w:val="525866"/>
          <w:sz w:val="22"/>
        </w:rPr>
        <w:t xml:space="preserve">Relevance to CLX: </w:t>
      </w:r>
      <w:r>
        <w:rPr>
          <w:rFonts w:ascii="Calibri" w:hAnsi="Calibri"/>
          <w:color w:val="525866"/>
          <w:sz w:val="22"/>
        </w:rPr>
        <w:t>MDLZ is a useful read-through on the food category and consumer behavior in the current environment, relevant to CLX’s Hidden Valley Ranch and food segment.</w:t>
      </w:r>
    </w:p>
    <w:p>
      <w:pPr>
        <w:pStyle w:val="ListBullet"/>
        <w:ind w:left="360" w:hanging="360"/>
      </w:pPr>
      <w:r>
        <w:rPr>
          <w:rFonts w:ascii="Calibri" w:hAnsi="Calibri"/>
          <w:b/>
          <w:color w:val="525866"/>
          <w:sz w:val="22"/>
        </w:rPr>
        <w:t>Q2 2026 organic sales growth of +2.2% vs. +0.9% consensus; EPS of $0.73 vs. $0.68 consensus.</w:t>
      </w:r>
      <w:r>
        <w:rPr>
          <w:rFonts w:ascii="Calibri" w:hAnsi="Calibri"/>
          <w:color w:val="525866"/>
          <w:sz w:val="22"/>
        </w:rPr>
        <w:t xml:space="preserve"> MDLZ raised full-year top-line guidance to “at least 2%” (from prior 0–2%), driven by volume growth, share gains, and solid execution. Maintained EPS forecast at flat-to-up 5%. </w:t>
      </w:r>
      <w:r>
        <w:rPr>
          <w:rFonts w:ascii="Calibri" w:hAnsi="Calibri"/>
          <w:i/>
          <w:color w:val="525866"/>
          <w:sz w:val="22"/>
        </w:rPr>
        <w:t xml:space="preserve">CLX read-through: </w:t>
      </w:r>
      <w:r>
        <w:rPr>
          <w:rFonts w:ascii="Calibri" w:hAnsi="Calibri"/>
          <w:i/>
          <w:color w:val="525866"/>
          <w:sz w:val="22"/>
        </w:rPr>
        <w:t>Modestly positive for food category sentiment — MDLZ’s volume-driven beat in North America suggests branded food products can grow even in a value-seeking consumer environment, which is relevant to CLX’s Hidden Valley Ranch recovery narrative. However, MDLZ’s categories (snacks, chocolate) are different from CLX’s condiments/dressings.</w:t>
      </w:r>
    </w:p>
    <w:p>
      <w:r>
        <w:rPr>
          <w:rFonts w:ascii="Calibri" w:hAnsi="Calibri"/>
          <w:i/>
          <w:color w:val="525866"/>
          <w:sz w:val="22"/>
        </w:rPr>
        <w:t>Source: MDLZ 8-K Earnings Release (July 28, 2026); News Digest (July 28–29,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insider transaction since the Q3 earnings call is a </w:t>
      </w:r>
      <w:r>
        <w:rPr>
          <w:rFonts w:ascii="Calibri" w:hAnsi="Calibri"/>
          <w:b/>
          <w:color w:val="525866"/>
          <w:sz w:val="22"/>
        </w:rPr>
        <w:t>discretionary open-market purchase by Director Pierre Breber on May 5, 2026 — a constructive signal</w:t>
      </w:r>
      <w:r>
        <w:rPr>
          <w:rFonts w:ascii="Calibri" w:hAnsi="Calibri"/>
          <w:color w:val="525866"/>
          <w:sz w:val="22"/>
        </w:rPr>
        <w:t xml:space="preserve"> made just days after the stock’s sharp post-earnings selloff, suggesting at least one board member viewed the selloff as an overreaction. No insider sales have been filed in the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Pierre R. Breber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5,000 shares</w:t>
            </w:r>
          </w:p>
        </w:tc>
        <w:tc>
          <w:tcPr>
            <w:tcW w:type="dxa" w:w="1234"/>
          </w:tcPr>
          <w:p>
            <w:r>
              <w:rPr>
                <w:rFonts w:ascii="Calibri" w:hAnsi="Calibri"/>
                <w:sz w:val="22"/>
              </w:rPr>
              <w:t>~$430,600 (at ~$86.12/share)</w:t>
            </w:r>
          </w:p>
        </w:tc>
        <w:tc>
          <w:tcPr>
            <w:tcW w:type="dxa" w:w="1234"/>
          </w:tcPr>
          <w:p>
            <w:r>
              <w:rPr>
                <w:rFonts w:ascii="Calibri" w:hAnsi="Calibri"/>
                <w:sz w:val="22"/>
              </w:rPr>
              <w:t>May 5, 2026</w:t>
            </w:r>
          </w:p>
        </w:tc>
        <w:tc>
          <w:tcPr>
            <w:tcW w:type="dxa" w:w="1234"/>
          </w:tcPr>
          <w:p>
            <w:r>
              <w:rPr>
                <w:rFonts w:ascii="Calibri" w:hAnsi="Calibri"/>
                <w:sz w:val="22"/>
              </w:rPr>
              <w:t>Discretionary purchase (no 10b5-1 plan); made 5 days after Q3 earnings selloff; shares held indirectly through trust; total trust holdings increased to 18,000 shares</w:t>
            </w:r>
          </w:p>
        </w:tc>
      </w:tr>
    </w:tbl>
    <w:p>
      <w:r>
        <w:rPr>
          <w:rFonts w:ascii="Calibri" w:hAnsi="Calibri"/>
          <w:i/>
          <w:color w:val="525866"/>
          <w:sz w:val="22"/>
        </w:rPr>
        <w:t>Source: SEC Form 4 Filing — Pierre R. Breber (CLX), filed May 5, 2026.</w:t>
      </w:r>
    </w:p>
    <w:p>
      <w:r>
        <w:rPr>
          <w:rFonts w:ascii="Calibri" w:hAnsi="Calibri"/>
          <w:b/>
          <w:color w:val="525866"/>
          <w:sz w:val="22"/>
        </w:rPr>
        <w:t xml:space="preserve">Context: </w:t>
      </w:r>
      <w:r>
        <w:rPr>
          <w:rFonts w:ascii="Calibri" w:hAnsi="Calibri"/>
          <w:color w:val="525866"/>
          <w:sz w:val="22"/>
        </w:rPr>
        <w:t>Director Breber’s purchase of 5,000 shares at ~$86.12 on May 5, 2026 — just five trading days after the stock fell ~9.7% on the Q3 earnings guidance cut — is a meaningful discretionary signal. The purchase was made through a trust (indirect ownership), which is a common structure for board members, and was not executed under a 10b5-1 plan, making it a fully discretionary decision. No other insider transactions (buys or sales) have been filed in the April 30 – August 2, 2026 window. The absence of insider selling during the CEO transition announcement and subsequent stock weakness is also notable — it suggests insiders do not view the current price as an exit opportunity.</w:t>
      </w:r>
    </w:p>
    <w:p>
      <w:r>
        <w:rPr>
          <w:rFonts w:ascii="Calibri" w:hAnsi="Calibri"/>
          <w:b/>
          <w:i/>
          <w:color w:val="525866"/>
          <w:sz w:val="22"/>
        </w:rPr>
        <w:t>— End of Report —</w:t>
      </w:r>
    </w:p>
    <w:p>
      <w:r>
        <w:rPr>
          <w:rFonts w:ascii="Calibri" w:hAnsi="Calibri"/>
          <w:b/>
          <w:color w:val="525866"/>
          <w:sz w:val="22"/>
        </w:rPr>
        <w:t xml:space="preserve">Disclaimer: </w:t>
      </w:r>
      <w:r>
        <w:rPr>
          <w:rFonts w:ascii="Calibri" w:hAnsi="Calibri"/>
          <w:i/>
          <w:color w:val="525866"/>
          <w:sz w:val="22"/>
        </w:rPr>
        <w:t>This earnings preview is prepared for informational purposes only and is based on publicly available information as of August 2, 2026. All consensus estimates are sourced from Visible Alpha. Stock price data sourced from Yahoo Finance. All figures are subject to revision. This document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