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236bdc7c45705f9976c1658f2854158a5c10634"/>
    <w:p>
      <w:pPr>
        <w:pStyle w:val="Heading1"/>
      </w:pPr>
      <w:r>
        <w:t xml:space="preserve">Chipotle Mexican Grill (CMG) — Q2 2026 Earnings Preview</w:t>
      </w:r>
    </w:p>
    <w:p>
      <w:pPr>
        <w:pStyle w:val="FirstParagraph"/>
      </w:pPr>
      <w:r>
        <w:rPr>
          <w:b/>
          <w:bCs/>
        </w:rPr>
        <w:t xml:space="preserve">Report Date:</w:t>
      </w:r>
      <w:r>
        <w:t xml:space="preserve"> </w:t>
      </w:r>
      <w:r>
        <w:t xml:space="preserve">Wednesday, July 29, 2026, after market close |</w:t>
      </w:r>
      <w:r>
        <w:t xml:space="preserve"> </w:t>
      </w:r>
      <w:r>
        <w:rPr>
          <w:b/>
          <w:bCs/>
        </w:rPr>
        <w:t xml:space="preserve">Fiscal Period:</w:t>
      </w:r>
      <w:r>
        <w:t xml:space="preserve"> </w:t>
      </w:r>
      <w:r>
        <w:t xml:space="preserve">2026 Q2</w:t>
      </w:r>
    </w:p>
    <w:p>
      <w:r>
        <w:pict>
          <v:rect style="width:0;height:1.5pt" o:hralign="center" o:hrstd="t" o:hr="t"/>
        </w:pict>
      </w:r>
    </w:p>
    <w:bookmarkStart w:id="9" w:name="setup-into-the-print"/>
    <w:p>
      <w:pPr>
        <w:pStyle w:val="Heading2"/>
      </w:pPr>
      <w:r>
        <w:t xml:space="preserve">Setup Into the Print</w:t>
      </w:r>
    </w:p>
    <w:p>
      <w:pPr>
        <w:pStyle w:val="FirstParagraph"/>
      </w:pPr>
      <w:r>
        <w:t xml:space="preserve">Chipotle's stock has been in a prolonged drawdown, falling from the high-</w:t>
      </w:r>
      <m:oMath>
        <m:r>
          <m:t>50</m:t>
        </m:r>
        <m:r>
          <m:t>s</m:t>
        </m:r>
        <m:r>
          <m:t>i</m:t>
        </m:r>
        <m:r>
          <m:t>n</m:t>
        </m:r>
        <m:r>
          <m:t>m</m:t>
        </m:r>
        <m:r>
          <m:t>i</m:t>
        </m:r>
        <m:r>
          <m:t>d</m:t>
        </m:r>
        <m:r>
          <m:rPr>
            <m:sty m:val="p"/>
          </m:rPr>
          <m:t>−</m:t>
        </m:r>
        <m:r>
          <m:t>2025</m:t>
        </m:r>
        <m:r>
          <m:t>t</m:t>
        </m:r>
        <m:r>
          <m:t>o</m:t>
        </m:r>
        <m:r>
          <m:t>t</m:t>
        </m:r>
        <m:r>
          <m:t>h</m:t>
        </m:r>
        <m:r>
          <m:t>e</m:t>
        </m:r>
        <m:r>
          <m:t>l</m:t>
        </m:r>
        <m:r>
          <m:t>o</m:t>
        </m:r>
        <m:r>
          <m:t>w</m:t>
        </m:r>
        <m:r>
          <m:rPr>
            <m:sty m:val="p"/>
          </m:rPr>
          <m:t>−</m:t>
        </m:r>
      </m:oMath>
      <w:r>
        <w:t xml:space="preserve">30s today (~$33.50), with sharp single-day drops around last year's Q2 and Q3 reports. Shares have been volatile into this print too, sliding from a July high near $36.63 to around $32-33 over the past two weeks before stabilizing. Heading into tomorrow's report, analyst sentiment remains constructive on valuation but cautious near-term: of 35 analysts covering the stock, 24 recommend "Strong Buy," two give "Moderate Buy," and nine advise "Hold", with an average analyst price target of $42.82, suggesting a potential upside of 26% from current levels. That said, price targets have been drifting down — the Street's average target has been adjusted slightly lower to reflect an updated fair value of about</w:t>
      </w:r>
      <w:r>
        <w:t xml:space="preserve"> </w:t>
      </w:r>
      <m:oMath>
        <m:r>
          <m:t>43.40</m:t>
        </m:r>
        <m:r>
          <m:rPr>
            <m:sty m:val="p"/>
          </m:rPr>
          <m:t>,</m:t>
        </m:r>
        <m:r>
          <m:t>w</m:t>
        </m:r>
        <m:r>
          <m:t>i</m:t>
        </m:r>
        <m:r>
          <m:t>t</m:t>
        </m:r>
        <m:r>
          <m:t>h</m:t>
        </m:r>
        <m:r>
          <m:t>a</m:t>
        </m:r>
        <m:r>
          <m:t>n</m:t>
        </m:r>
        <m:r>
          <m:t>a</m:t>
        </m:r>
        <m:r>
          <m:t>l</m:t>
        </m:r>
        <m:r>
          <m:t>y</m:t>
        </m:r>
        <m:r>
          <m:t>s</m:t>
        </m:r>
        <m:r>
          <m:t>t</m:t>
        </m:r>
        <m:r>
          <m:t>s</m:t>
        </m:r>
        <m:r>
          <m:t>c</m:t>
        </m:r>
        <m:r>
          <m:t>i</m:t>
        </m:r>
        <m:r>
          <m:t>t</m:t>
        </m:r>
        <m:r>
          <m:t>i</m:t>
        </m:r>
        <m:r>
          <m:t>n</m:t>
        </m:r>
        <m:r>
          <m:t>g</m:t>
        </m:r>
        <m:r>
          <m:t>m</m:t>
        </m:r>
        <m:r>
          <m:t>o</m:t>
        </m:r>
        <m:r>
          <m:t>d</m:t>
        </m:r>
        <m:r>
          <m:t>e</m:t>
        </m:r>
        <m:r>
          <m:t>s</m:t>
        </m:r>
        <m:r>
          <m:t>t</m:t>
        </m:r>
        <m:r>
          <m:t>t</m:t>
        </m:r>
        <m:r>
          <m:t>w</m:t>
        </m:r>
        <m:r>
          <m:t>e</m:t>
        </m:r>
        <m:r>
          <m:t>a</m:t>
        </m:r>
        <m:r>
          <m:t>k</m:t>
        </m:r>
        <m:r>
          <m:t>s</m:t>
        </m:r>
        <m:r>
          <m:t>t</m:t>
        </m:r>
        <m:r>
          <m:t>o</m:t>
        </m:r>
        <m:r>
          <m:t>d</m:t>
        </m:r>
        <m:r>
          <m:t>i</m:t>
        </m:r>
        <m:r>
          <m:t>s</m:t>
        </m:r>
        <m:r>
          <m:t>c</m:t>
        </m:r>
        <m:r>
          <m:t>o</m:t>
        </m:r>
        <m:r>
          <m:t>u</m:t>
        </m:r>
        <m:r>
          <m:t>n</m:t>
        </m:r>
        <m:r>
          <m:t>t</m:t>
        </m:r>
        <m:r>
          <m:t>r</m:t>
        </m:r>
        <m:r>
          <m:t>a</m:t>
        </m:r>
        <m:r>
          <m:t>t</m:t>
        </m:r>
        <m:r>
          <m:t>e</m:t>
        </m:r>
        <m:r>
          <m:t>a</m:t>
        </m:r>
        <m:r>
          <m:t>s</m:t>
        </m:r>
        <m:r>
          <m:t>s</m:t>
        </m:r>
        <m:r>
          <m:t>u</m:t>
        </m:r>
        <m:r>
          <m:t>m</m:t>
        </m:r>
        <m:r>
          <m:t>p</m:t>
        </m:r>
        <m:r>
          <m:t>t</m:t>
        </m:r>
        <m:r>
          <m:t>i</m:t>
        </m:r>
        <m:r>
          <m:t>o</m:t>
        </m:r>
        <m:r>
          <m:t>n</m:t>
        </m:r>
        <m:r>
          <m:t>s</m:t>
        </m:r>
        <m:r>
          <m:rPr>
            <m:sty m:val="p"/>
          </m:rPr>
          <m:t>,</m:t>
        </m:r>
        <m:r>
          <m:t>s</m:t>
        </m:r>
        <m:r>
          <m:t>l</m:t>
        </m:r>
        <m:r>
          <m:t>i</m:t>
        </m:r>
        <m:r>
          <m:t>g</m:t>
        </m:r>
        <m:r>
          <m:t>h</m:t>
        </m:r>
        <m:r>
          <m:t>t</m:t>
        </m:r>
        <m:r>
          <m:t>l</m:t>
        </m:r>
        <m:r>
          <m:t>y</m:t>
        </m:r>
        <m:r>
          <m:t>s</m:t>
        </m:r>
        <m:r>
          <m:t>o</m:t>
        </m:r>
        <m:r>
          <m:t>f</m:t>
        </m:r>
        <m:r>
          <m:t>t</m:t>
        </m:r>
        <m:r>
          <m:t>e</m:t>
        </m:r>
        <m:r>
          <m:t>r</m:t>
        </m:r>
        <m:r>
          <m:t>r</m:t>
        </m:r>
        <m:r>
          <m:t>e</m:t>
        </m:r>
        <m:r>
          <m:t>v</m:t>
        </m:r>
        <m:r>
          <m:t>e</m:t>
        </m:r>
        <m:r>
          <m:t>n</m:t>
        </m:r>
        <m:r>
          <m:t>u</m:t>
        </m:r>
        <m:r>
          <m:t>e</m:t>
        </m:r>
        <m:r>
          <m:t>g</m:t>
        </m:r>
        <m:r>
          <m:t>r</m:t>
        </m:r>
        <m:r>
          <m:t>o</m:t>
        </m:r>
        <m:r>
          <m:t>w</m:t>
        </m:r>
        <m:r>
          <m:t>t</m:t>
        </m:r>
        <m:r>
          <m:t>h</m:t>
        </m:r>
        <m:r>
          <m:t>e</m:t>
        </m:r>
        <m:r>
          <m:t>x</m:t>
        </m:r>
        <m:r>
          <m:t>p</m:t>
        </m:r>
        <m:r>
          <m:t>e</m:t>
        </m:r>
        <m:r>
          <m:t>c</m:t>
        </m:r>
        <m:r>
          <m:t>t</m:t>
        </m:r>
        <m:r>
          <m:t>a</m:t>
        </m:r>
        <m:r>
          <m:t>t</m:t>
        </m:r>
        <m:r>
          <m:t>i</m:t>
        </m:r>
        <m:r>
          <m:t>o</m:t>
        </m:r>
        <m:r>
          <m:t>n</m:t>
        </m:r>
        <m:r>
          <m:t>s</m:t>
        </m:r>
        <m:r>
          <m:rPr>
            <m:sty m:val="p"/>
          </m:rPr>
          <m:t>,</m:t>
        </m:r>
        <m:r>
          <m:t>a</m:t>
        </m:r>
        <m:r>
          <m:t>n</m:t>
        </m:r>
        <m:r>
          <m:t>d</m:t>
        </m:r>
        <m:r>
          <m:t>a</m:t>
        </m:r>
        <m:r>
          <m:t>l</m:t>
        </m:r>
        <m:r>
          <m:t>o</m:t>
        </m:r>
        <m:r>
          <m:t>w</m:t>
        </m:r>
        <m:r>
          <m:t>e</m:t>
        </m:r>
        <m:r>
          <m:t>r</m:t>
        </m:r>
        <m:r>
          <m:t>f</m:t>
        </m:r>
        <m:r>
          <m:t>u</m:t>
        </m:r>
        <m:r>
          <m:t>t</m:t>
        </m:r>
        <m:r>
          <m:t>u</m:t>
        </m:r>
        <m:r>
          <m:t>r</m:t>
        </m:r>
        <m:r>
          <m:t>e</m:t>
        </m:r>
        <m:r>
          <m:t>P</m:t>
        </m:r>
        <m:r>
          <m:rPr>
            <m:sty m:val="p"/>
          </m:rPr>
          <m:t>/</m:t>
        </m:r>
        <m:r>
          <m:t>E</m:t>
        </m:r>
        <m:r>
          <m:t>m</m:t>
        </m:r>
        <m:r>
          <m:t>u</m:t>
        </m:r>
        <m:r>
          <m:t>l</m:t>
        </m:r>
        <m:r>
          <m:t>t</m:t>
        </m:r>
        <m:r>
          <m:t>i</m:t>
        </m:r>
        <m:r>
          <m:t>p</m:t>
        </m:r>
        <m:r>
          <m:t>l</m:t>
        </m:r>
        <m:r>
          <m:t>e</m:t>
        </m:r>
        <m:r>
          <m:rPr>
            <m:sty m:val="p"/>
          </m:rPr>
          <m:t>,</m:t>
        </m:r>
        <m:r>
          <m:t>a</m:t>
        </m:r>
        <m:r>
          <m:t>f</m:t>
        </m:r>
        <m:r>
          <m:t>t</m:t>
        </m:r>
        <m:r>
          <m:t>e</m:t>
        </m:r>
        <m:r>
          <m:t>r</m:t>
        </m:r>
        <m:r>
          <m:t>t</m:t>
        </m:r>
        <m:r>
          <m:t>h</m:t>
        </m:r>
        <m:r>
          <m:t>e</m:t>
        </m:r>
        <m:r>
          <m:t>s</m:t>
        </m:r>
        <m:r>
          <m:t>t</m:t>
        </m:r>
        <m:r>
          <m:t>o</m:t>
        </m:r>
        <m:r>
          <m:t>c</m:t>
        </m:r>
        <m:r>
          <m:t>k</m:t>
        </m:r>
        <m:r>
          <m:t>f</m:t>
        </m:r>
        <m:r>
          <m:t>e</m:t>
        </m:r>
        <m:r>
          <m:t>l</m:t>
        </m:r>
        <m:r>
          <m:t>l</m:t>
        </m:r>
        <m:r>
          <m:t>13</m:t>
        </m:r>
      </m:oMath>
      <w:r>
        <w:t xml:space="preserve">33.99.</w:t>
      </w:r>
    </w:p>
    <w:bookmarkEnd w:id="9"/>
    <w:bookmarkStart w:id="10" w:name="consensus-expectations"/>
    <w:p>
      <w:pPr>
        <w:pStyle w:val="Heading2"/>
      </w:pPr>
      <w:r>
        <w:t xml:space="preserve">Consensus Expectations</w:t>
      </w:r>
    </w:p>
    <w:p>
      <w:pPr>
        <w:pStyle w:val="Compact"/>
        <w:numPr>
          <w:ilvl w:val="0"/>
          <w:numId w:val="1001"/>
        </w:numPr>
      </w:pPr>
      <w:r>
        <w:rPr>
          <w:b/>
          <w:bCs/>
        </w:rPr>
        <w:t xml:space="preserve">EPS:</w:t>
      </w:r>
      <w:r>
        <w:t xml:space="preserve"> </w:t>
      </w:r>
      <w:r>
        <w:t xml:space="preserve">Consensus is around $0.32, which represents a 3% decrease from $0.33 in the year-ago quarter, though Chipotle has surpassed or met Wall Street's earnings estimates in the past four quarters. A separate estimate cited comparable EPS of $0.32, "down roughly 3.5% year-over-year."</w:t>
      </w:r>
    </w:p>
    <w:p>
      <w:pPr>
        <w:pStyle w:val="Compact"/>
        <w:numPr>
          <w:ilvl w:val="0"/>
          <w:numId w:val="1001"/>
        </w:numPr>
      </w:pPr>
      <w:r>
        <w:rPr>
          <w:b/>
          <w:bCs/>
        </w:rPr>
        <w:t xml:space="preserve">Revenue:</w:t>
      </w:r>
      <w:r>
        <w:t xml:space="preserve"> </w:t>
      </w:r>
      <w:r>
        <w:t xml:space="preserve">Consensus calls for roughly $3.3 billion, with revenues projected to reach $3.32 billion, increasing 8.4% from the same quarter last year, and estimates have been fairly stable — over the last 30 days, there has been no revision in the consensus EPS estimate for the quarter.</w:t>
      </w:r>
    </w:p>
    <w:p>
      <w:pPr>
        <w:pStyle w:val="Compact"/>
        <w:numPr>
          <w:ilvl w:val="0"/>
          <w:numId w:val="1001"/>
        </w:numPr>
      </w:pPr>
      <w:r>
        <w:rPr>
          <w:b/>
          <w:bCs/>
        </w:rPr>
        <w:t xml:space="preserve">Comparable sales:</w:t>
      </w:r>
      <w:r>
        <w:t xml:space="preserve"> </w:t>
      </w:r>
      <w:r>
        <w:t xml:space="preserve">Street models are looking for comp growth of roughly 1.3%.</w:t>
      </w:r>
    </w:p>
    <w:p>
      <w:pPr>
        <w:pStyle w:val="Compact"/>
        <w:numPr>
          <w:ilvl w:val="0"/>
          <w:numId w:val="1001"/>
        </w:numPr>
      </w:pPr>
      <w:r>
        <w:rPr>
          <w:b/>
          <w:bCs/>
        </w:rPr>
        <w:t xml:space="preserve">Restaurant margin:</w:t>
      </w:r>
      <w:r>
        <w:t xml:space="preserve"> </w:t>
      </w:r>
      <w:r>
        <w:t xml:space="preserve">Consensus expects restaurant-level margin to contract roughly 240 basis points year-over-year, continuing the trend of shrinking margins amid input-cost inflation.</w:t>
      </w:r>
    </w:p>
    <w:p>
      <w:pPr>
        <w:pStyle w:val="Compact"/>
        <w:numPr>
          <w:ilvl w:val="0"/>
          <w:numId w:val="1001"/>
        </w:numPr>
      </w:pPr>
      <w:r>
        <w:rPr>
          <w:b/>
          <w:bCs/>
        </w:rPr>
        <w:t xml:space="preserve">Estimate revisions:</w:t>
      </w:r>
      <w:r>
        <w:t xml:space="preserve"> </w:t>
      </w:r>
      <w:r>
        <w:t xml:space="preserve">Analysts covering the company have generally reconfirmed their estimates over the last 30 days, suggesting they anticipate the business will stay the course heading into earnings, though it's worth noting Chipotle has missed Wall Street's revenue estimates multiple times over the last two years.</w:t>
      </w:r>
    </w:p>
    <w:bookmarkEnd w:id="10"/>
    <w:bookmarkStart w:id="11" w:name="X14821176445b008acefb147a6276b502bb406cd"/>
    <w:p>
      <w:pPr>
        <w:pStyle w:val="Heading2"/>
      </w:pPr>
      <w:r>
        <w:t xml:space="preserve">What Management Guided Last Quarter (Q1 2026 Call, April 29)</w:t>
      </w:r>
    </w:p>
    <w:p>
      <w:pPr>
        <w:pStyle w:val="FirstParagraph"/>
      </w:pPr>
      <w:r>
        <w:t xml:space="preserve">Chipotle's Q1 2026 results modestly beat expectations: revenue grew 7.4% to $3.1 billion on a 0.5% comp increase, digital sales reached 38.6% of total sales, restaurant-level margin was 23.7% (down 250 bps YoY), and adjusted EPS fell 17% to $0.24. Management specifically framed Q2 expectations on the call:</w:t>
      </w:r>
    </w:p>
    <w:p>
      <w:pPr>
        <w:pStyle w:val="Compact"/>
        <w:numPr>
          <w:ilvl w:val="0"/>
          <w:numId w:val="1002"/>
        </w:numPr>
      </w:pPr>
      <w:r>
        <w:rPr>
          <w:b/>
          <w:bCs/>
        </w:rPr>
        <w:t xml:space="preserve">Comps:</w:t>
      </w:r>
      <w:r>
        <w:t xml:space="preserve"> </w:t>
      </w:r>
      <w:r>
        <w:t xml:space="preserve">CFO Adam Rymer guided to Q2 comps "somewhere in that plus 1% range," building off a pickup in trends seen in April driven by the Cilantro Lime Sauce launch, the rewards relaunch, and an Easter calendar shift, while flagging some softening in March tied to geopolitical noise (the Iran conflict) and gas prices. Full-year comp guidance remains "about flat," which management called conservative given trends were tracking ahead of that.</w:t>
      </w:r>
    </w:p>
    <w:p>
      <w:pPr>
        <w:pStyle w:val="Compact"/>
        <w:numPr>
          <w:ilvl w:val="0"/>
          <w:numId w:val="1002"/>
        </w:numPr>
      </w:pPr>
      <w:r>
        <w:rPr>
          <w:b/>
          <w:bCs/>
        </w:rPr>
        <w:t xml:space="preserve">Pricing:</w:t>
      </w:r>
      <w:r>
        <w:t xml:space="preserve"> </w:t>
      </w:r>
      <w:r>
        <w:t xml:space="preserve">Roughly 1.5% menu pricing expected in Q2 (versus just under 1% in Q1), full-year pricing still guided to 1%–2%.</w:t>
      </w:r>
    </w:p>
    <w:p>
      <w:pPr>
        <w:pStyle w:val="Compact"/>
        <w:numPr>
          <w:ilvl w:val="0"/>
          <w:numId w:val="1002"/>
        </w:numPr>
      </w:pPr>
      <w:r>
        <w:rPr>
          <w:b/>
          <w:bCs/>
        </w:rPr>
        <w:t xml:space="preserve">Cost of sales:</w:t>
      </w:r>
      <w:r>
        <w:t xml:space="preserve"> </w:t>
      </w:r>
      <w:r>
        <w:t xml:space="preserve">Expected to step up sequentially to about 30% of sales in Q2 as avocado, dairy, and beef costs rise, with cost inflation running mid-single-digit in Q2 before easing in the low-to-mid-single digits in the back half as beef comparisons ease (full-year cost inflation guided around 4%).</w:t>
      </w:r>
    </w:p>
    <w:p>
      <w:pPr>
        <w:pStyle w:val="Compact"/>
        <w:numPr>
          <w:ilvl w:val="0"/>
          <w:numId w:val="1002"/>
        </w:numPr>
      </w:pPr>
      <w:r>
        <w:rPr>
          <w:b/>
          <w:bCs/>
        </w:rPr>
        <w:t xml:space="preserve">Labor:</w:t>
      </w:r>
      <w:r>
        <w:t xml:space="preserve"> </w:t>
      </w:r>
      <w:r>
        <w:t xml:space="preserve">Guided to the "low-25%" range of sales with low-single-digit wage inflation.</w:t>
      </w:r>
    </w:p>
    <w:p>
      <w:pPr>
        <w:pStyle w:val="Compact"/>
        <w:numPr>
          <w:ilvl w:val="0"/>
          <w:numId w:val="1002"/>
        </w:numPr>
      </w:pPr>
      <w:r>
        <w:rPr>
          <w:b/>
          <w:bCs/>
        </w:rPr>
        <w:t xml:space="preserve">Other operating costs / marketing:</w:t>
      </w:r>
      <w:r>
        <w:t xml:space="preserve"> </w:t>
      </w:r>
      <w:r>
        <w:t xml:space="preserve">Other opex guided to the "high-14%" range; marketing guided to low-3% of sales for Q2 and the full year.</w:t>
      </w:r>
    </w:p>
    <w:p>
      <w:pPr>
        <w:pStyle w:val="Compact"/>
        <w:numPr>
          <w:ilvl w:val="0"/>
          <w:numId w:val="1002"/>
        </w:numPr>
      </w:pPr>
      <w:r>
        <w:rPr>
          <w:b/>
          <w:bCs/>
        </w:rPr>
        <w:t xml:space="preserve">G&amp;A:</w:t>
      </w:r>
      <w:r>
        <w:t xml:space="preserve"> </w:t>
      </w:r>
      <w:r>
        <w:t xml:space="preserve">Non-GAAP G&amp;A guided to roughly</w:t>
      </w:r>
      <w:r>
        <w:t xml:space="preserve"> </w:t>
      </w:r>
      <m:oMath>
        <m:r>
          <m:t>181</m:t>
        </m:r>
        <m:r>
          <m:t>m</m:t>
        </m:r>
        <m:r>
          <m:t>i</m:t>
        </m:r>
        <m:r>
          <m:t>l</m:t>
        </m:r>
        <m:r>
          <m:t>l</m:t>
        </m:r>
        <m:r>
          <m:t>i</m:t>
        </m:r>
        <m:r>
          <m:t>o</m:t>
        </m:r>
        <m:r>
          <m:t>n</m:t>
        </m:r>
        <m:r>
          <m:rPr>
            <m:sty m:val="p"/>
          </m:rPr>
          <m:t>,</m:t>
        </m:r>
        <m:r>
          <m:t>i</m:t>
        </m:r>
        <m:r>
          <m:t>n</m:t>
        </m:r>
        <m:r>
          <m:t>c</m:t>
        </m:r>
        <m:r>
          <m:t>l</m:t>
        </m:r>
        <m:r>
          <m:t>u</m:t>
        </m:r>
        <m:r>
          <m:t>d</m:t>
        </m:r>
        <m:r>
          <m:t>i</m:t>
        </m:r>
        <m:r>
          <m:t>n</m:t>
        </m:r>
        <m:r>
          <m:t>g</m:t>
        </m:r>
        <m:r>
          <m:t> </m:t>
        </m:r>
      </m:oMath>
      <w:r>
        <w:t xml:space="preserve">151 million underlying G&amp;A and ~$30 million of stock compensation.</w:t>
      </w:r>
    </w:p>
    <w:p>
      <w:pPr>
        <w:pStyle w:val="Compact"/>
        <w:numPr>
          <w:ilvl w:val="0"/>
          <w:numId w:val="1002"/>
        </w:numPr>
      </w:pPr>
      <w:r>
        <w:rPr>
          <w:b/>
          <w:bCs/>
        </w:rPr>
        <w:t xml:space="preserve">Margin trajectory:</w:t>
      </w:r>
      <w:r>
        <w:t xml:space="preserve"> </w:t>
      </w:r>
      <w:r>
        <w:t xml:space="preserve">Management indicated the pricing/inflation "dislocation" would be worst in the first half of the year and narrow into year-end as beef cost comparisons ease and pricing builds gradually.</w:t>
      </w:r>
    </w:p>
    <w:bookmarkEnd w:id="11"/>
    <w:bookmarkStart w:id="12" w:name="key-themes-to-watch"/>
    <w:p>
      <w:pPr>
        <w:pStyle w:val="Heading2"/>
      </w:pPr>
      <w:r>
        <w:t xml:space="preserve">Key Themes to Watch</w:t>
      </w:r>
    </w:p>
    <w:p>
      <w:pPr>
        <w:pStyle w:val="FirstParagraph"/>
      </w:pPr>
      <w:r>
        <w:rPr>
          <w:b/>
          <w:bCs/>
        </w:rPr>
        <w:t xml:space="preserve">1. Transaction-led recovery vs. a cautious full-year comp guide.</w:t>
      </w:r>
      <w:r>
        <w:t xml:space="preserve"> </w:t>
      </w:r>
      <w:r>
        <w:t xml:space="preserve">The bigger investor debate is whether the "Recipe for Growth" initiatives (menu innovation cadence, loyalty relaunch, hospitality push, kitchen equipment rollout) are durably reaccelerating traffic, or whether Q1's positive transaction growth and April strength were driven by one-off catalysts (Easter shift, Cilantro Lime Sauce launch). Consensus of ~1.3% comps is essentially in line with, or slightly above, management's own ~1% guide — a beat here, especially on traffic (not just price/mix), would be well received.</w:t>
      </w:r>
    </w:p>
    <w:p>
      <w:pPr>
        <w:pStyle w:val="BodyText"/>
      </w:pPr>
      <w:r>
        <w:rPr>
          <w:b/>
          <w:bCs/>
        </w:rPr>
        <w:t xml:space="preserve">2. Margin compression — is it peaking?</w:t>
      </w:r>
      <w:r>
        <w:t xml:space="preserve"> </w:t>
      </w:r>
      <w:r>
        <w:t xml:space="preserve">Restaurant margins have been under pressure for several quarters from wage inflation, avocado/dairy/beef costs, and lower average volumes. Q2 is expected to represent the toughest year-over-year comparison, with cost of sales stepping up to ~30% of sales. Investors will want confirmation that Q2 is the trough and that margins should improve sequentially in H2 as beef cost comps ease and pricing catches up.</w:t>
      </w:r>
    </w:p>
    <w:p>
      <w:pPr>
        <w:pStyle w:val="BodyText"/>
      </w:pPr>
      <w:r>
        <w:rPr>
          <w:b/>
          <w:bCs/>
        </w:rPr>
        <w:t xml:space="preserve">3. Progress on the "Recipe for Growth" pillars.</w:t>
      </w:r>
      <w:r>
        <w:t xml:space="preserve"> </w:t>
      </w:r>
      <w:r>
        <w:t xml:space="preserve">Watch for updates on:</w:t>
      </w:r>
    </w:p>
    <w:p>
      <w:pPr>
        <w:pStyle w:val="Compact"/>
        <w:numPr>
          <w:ilvl w:val="0"/>
          <w:numId w:val="1003"/>
        </w:numPr>
      </w:pPr>
      <w:r>
        <w:rPr>
          <w:b/>
          <w:bCs/>
        </w:rPr>
        <w:t xml:space="preserve">High-efficiency kitchen equipment</w:t>
      </w:r>
      <w:r>
        <w:t xml:space="preserve"> </w:t>
      </w:r>
      <w:r>
        <w:t xml:space="preserve">(Dual-Sided Plancha, Three-Pan Rice Cooker, High-Capacity Fryer) — was in over 600 restaurants exiting Q1 (up from ~350), targeting 2,000 by year-end, with management citing 200–400 bps of comp lift in equipped stores.</w:t>
      </w:r>
    </w:p>
    <w:p>
      <w:pPr>
        <w:pStyle w:val="Compact"/>
        <w:numPr>
          <w:ilvl w:val="0"/>
          <w:numId w:val="1003"/>
        </w:numPr>
      </w:pPr>
      <w:r>
        <w:rPr>
          <w:b/>
          <w:bCs/>
        </w:rPr>
        <w:t xml:space="preserve">Digital/AI tools</w:t>
      </w:r>
      <w:r>
        <w:t xml:space="preserve"> </w:t>
      </w:r>
      <w:r>
        <w:t xml:space="preserve">— Chipotle Kitchen digital makeline displays, the "Ava Cado" AI assistant, and expanding GM-support AI features.</w:t>
      </w:r>
    </w:p>
    <w:p>
      <w:pPr>
        <w:pStyle w:val="Compact"/>
        <w:numPr>
          <w:ilvl w:val="0"/>
          <w:numId w:val="1003"/>
        </w:numPr>
      </w:pPr>
      <w:r>
        <w:rPr>
          <w:b/>
          <w:bCs/>
        </w:rPr>
        <w:t xml:space="preserve">Loyalty relaunch</w:t>
      </w:r>
      <w:r>
        <w:t xml:space="preserve"> </w:t>
      </w:r>
      <w:r>
        <w:t xml:space="preserve">— loyalty represented 32% of sales in Q1 (up 300 bps YoY), with a ~25% increase in daily enrollees following the program refresh; continued momentum here would support both comps and CFO commentary on customer engagement.</w:t>
      </w:r>
    </w:p>
    <w:p>
      <w:pPr>
        <w:pStyle w:val="Compact"/>
        <w:numPr>
          <w:ilvl w:val="0"/>
          <w:numId w:val="1003"/>
        </w:numPr>
      </w:pPr>
      <w:r>
        <w:rPr>
          <w:b/>
          <w:bCs/>
        </w:rPr>
        <w:t xml:space="preserve">Menu innovation cadence</w:t>
      </w:r>
      <w:r>
        <w:t xml:space="preserve"> </w:t>
      </w:r>
      <w:r>
        <w:t xml:space="preserve">— Cilantro Lime Sauce and the return of Chicken Al Pastor and Chipotle Honey Chicken drove Q1/early-Q2 strength; two more limited-time offerings are planned for the back half of 2026.</w:t>
      </w:r>
    </w:p>
    <w:p>
      <w:pPr>
        <w:pStyle w:val="Compact"/>
        <w:numPr>
          <w:ilvl w:val="0"/>
          <w:numId w:val="1003"/>
        </w:numPr>
      </w:pPr>
      <w:r>
        <w:rPr>
          <w:b/>
          <w:bCs/>
        </w:rPr>
        <w:t xml:space="preserve">New occasions</w:t>
      </w:r>
      <w:r>
        <w:t xml:space="preserve"> </w:t>
      </w:r>
      <w:r>
        <w:t xml:space="preserve">— catering and "Build Your Own Chipotle" group orders, still a small (~2%) but potentially meaningful long-term contributor.</w:t>
      </w:r>
    </w:p>
    <w:p>
      <w:pPr>
        <w:pStyle w:val="FirstParagraph"/>
      </w:pPr>
      <w:r>
        <w:rPr>
          <w:b/>
          <w:bCs/>
        </w:rPr>
        <w:t xml:space="preserve">4. Global expansion news flow.</w:t>
      </w:r>
      <w:r>
        <w:t xml:space="preserve"> </w:t>
      </w:r>
      <w:r>
        <w:t xml:space="preserve">Chipotle opened its first restaurant in Mexico in July, a partner-operated location in Monterrey, with plans to expand into Mexico City. This is a headline growth story but immaterial to near-term financials; more relevant to the quarter will be commentary on unit growth pacing toward the ~350 new U.S./Canada restaurants planned for 2026 and the long-term 7,000-restaurant target, as well as any update on previously flagged delays to partner-operated openings in the Middle East due to geopolitical conditions.</w:t>
      </w:r>
    </w:p>
    <w:p>
      <w:pPr>
        <w:pStyle w:val="BodyText"/>
      </w:pPr>
      <w:r>
        <w:rPr>
          <w:b/>
          <w:bCs/>
        </w:rPr>
        <w:t xml:space="preserve">5. Leadership transition and brand refresh.</w:t>
      </w:r>
      <w:r>
        <w:t xml:space="preserve"> </w:t>
      </w:r>
      <w:r>
        <w:t xml:space="preserve">New Chief Brand Officer Fernando Machado and Chief Digital Officer Arlie Sisson both joined during Q1; investors will be listening for early signs of their impact on marketing effectiveness, value messaging/price-point testing (e.g., a "happier hour" test with $2.50 tacos), and third-party delivery strategy. Chipotle also recently added an independent director to its Audit and Risk Committee.</w:t>
      </w:r>
    </w:p>
    <w:p>
      <w:pPr>
        <w:pStyle w:val="BodyText"/>
      </w:pPr>
      <w:r>
        <w:rPr>
          <w:b/>
          <w:bCs/>
        </w:rPr>
        <w:t xml:space="preserve">6. Capital allocation.</w:t>
      </w:r>
      <w:r>
        <w:t xml:space="preserve"> </w:t>
      </w:r>
      <w:r>
        <w:t xml:space="preserve">Chipotle ended Q1 with $1 billion in cash and no debt, and repurchased $701 million of stock in Q1 at an average price of $36.14, with $1 billion remaining under its buyback authorization. Given the stock has since traded below that average repurchase price for much of the quarter, investors will watch for confirmation of continued aggressive buybacks.</w:t>
      </w:r>
    </w:p>
    <w:p>
      <w:pPr>
        <w:pStyle w:val="BodyText"/>
      </w:pPr>
      <w:r>
        <w:rPr>
          <w:b/>
          <w:bCs/>
        </w:rPr>
        <w:t xml:space="preserve">7. Competitive and macro backdrop.</w:t>
      </w:r>
      <w:r>
        <w:t xml:space="preserve"> </w:t>
      </w:r>
      <w:r>
        <w:t xml:space="preserve">Management downplayed competitive cannibalization risk from fast-growing chicken/Mexican fast-casual concepts, and flagged only modest, temporary consumer softness tied to geopolitical shocks (Iran conflict) and gas prices. Peer read-throughs into this print have been mixed-to-decent: Domino's delivered year-on-year revenue growth of 4.3%, beating analysts' expectations by 1.2%, and Darden reported revenues up 13.7%, in line with consensus estimates, suggesting the restaurant group overall isn't seeing acute demand deterioration.</w:t>
      </w:r>
    </w:p>
    <w:bookmarkEnd w:id="12"/>
    <w:bookmarkStart w:id="13" w:name="bottom-line"/>
    <w:p>
      <w:pPr>
        <w:pStyle w:val="Heading2"/>
      </w:pPr>
      <w:r>
        <w:t xml:space="preserve">Bottom Line</w:t>
      </w:r>
    </w:p>
    <w:p>
      <w:pPr>
        <w:pStyle w:val="FirstParagraph"/>
      </w:pPr>
      <w:r>
        <w:t xml:space="preserve">Chipotle enters Wednesday's print as a battered stock (down roughly 40% from year-ago levels) trading well below Street price targets, with a Recipe for Growth turnaround narrative that showed encouraging early traction in Q1 (positive transactions, accelerating loyalty engagement, LTO-driven demand) but that must now prove durable against a still-tough margin backdrop. The key swing factors for the stock's reaction will be: (1) whether comps came in at or above the ~1.3% consensus / management's ~1% guide, with healthy traffic contribution; (2) whether restaurant margin degradation (consensus ~240 bps YoY) matched guidance or showed early signs of moderating; and (3) management's tone on H2 acceleration — LTO pipeline, loyalty/rewards momentum, kitchen equipment rollout pace, and reiteration (or adjustment) of the "about flat" full-year comp guidance, which the company has signaled could prove conservative.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2026-07-29T01:20:00Z</dcterms:created>
  <dcterms:modified xsi:type="dcterms:W3CDTF">2026-07-29T01:20:00Z</dcterms:modified>
</cp:coreProperties>
</file>

<file path=docProps/custom.xml><?xml version="1.0" encoding="utf-8"?>
<Properties xmlns="http://schemas.openxmlformats.org/officeDocument/2006/custom-properties" xmlns:vt="http://schemas.openxmlformats.org/officeDocument/2006/docPropsVTypes"/>
</file>