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g-earnings-predictions--2026-07-29"/>
    <w:p>
      <w:pPr>
        <w:pStyle w:val="Heading1"/>
      </w:pPr>
      <w:r>
        <w:t xml:space="preserve">CMG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comparable restaurant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~1.5% vs. cons 1.3%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restaurant-level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~25.1% vs. cons 25.0%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~$0.33 vs. cons $0.32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comparable restaurant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~0.0% vs. cons +0.6%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Comparable restaurant sales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~+0.2% vs. cons +1.4% (Q3 2026/Q3-to-date)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New restaurant openings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~360 midpoint vs. cons 360 (FY 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-7.2% (FOLLOW-THROUGH)</w:t>
            </w:r>
          </w:p>
        </w:tc>
        <w:tc>
          <w:tcPr/>
          <w:p>
            <w:pPr>
              <w:pStyle w:val="Compact"/>
            </w:pPr>
            <w:r>
              <w:t xml:space="preserve">A modest Q2 beat is outweighed by out-period math: Q3-to-date comps of ~+0.2% vs. consensus +1.4% and FY 2026 guidance of ~0.0% vs. consensus +0.6% imply second-half estimate cuts, supporting negative follow-through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2026-07-29T01:18:36Z</dcterms:created>
  <dcterms:modified xsi:type="dcterms:W3CDTF">2026-07-29T01:18:36Z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