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cmg-q2-2026-earnings-preview"/>
    <w:p>
      <w:pPr>
        <w:pStyle w:val="Heading1"/>
      </w:pPr>
      <w:r>
        <w:t xml:space="preserve">CMG Q2 2026 Earnings Preview</w:t>
      </w:r>
    </w:p>
    <w:p>
      <w:pPr>
        <w:pStyle w:val="BlockText"/>
      </w:pPr>
      <w:r>
        <w:rPr>
          <w:b/>
          <w:bCs/>
        </w:rPr>
        <w:t xml:space="preserve">Timing clarification:</w:t>
      </w:r>
      <w:r>
        <w:t xml:space="preserve"> </w:t>
      </w:r>
      <w:r>
        <w:t xml:space="preserve">Chipotle is scheduled to report</w:t>
      </w:r>
      <w:r>
        <w:t xml:space="preserve"> </w:t>
      </w:r>
      <w:r>
        <w:rPr>
          <w:b/>
          <w:bCs/>
        </w:rPr>
        <w:t xml:space="preserve">today, Wednesday, July 29, 2026</w:t>
      </w:r>
      <w:r>
        <w:t xml:space="preserve">, not tomorrow. The company expects to release results at approximately</w:t>
      </w:r>
      <w:r>
        <w:t xml:space="preserve"> </w:t>
      </w:r>
      <w:r>
        <w:rPr>
          <w:b/>
          <w:bCs/>
        </w:rPr>
        <w:t xml:space="preserve">4:10 p.m. ET</w:t>
      </w:r>
      <w:r>
        <w:t xml:space="preserve">, followed by its earnings call at</w:t>
      </w:r>
      <w:r>
        <w:t xml:space="preserve"> </w:t>
      </w:r>
      <w:r>
        <w:rPr>
          <w:b/>
          <w:bCs/>
        </w:rPr>
        <w:t xml:space="preserve">4:30 p.m. ET</w:t>
      </w:r>
      <w:r>
        <w:t xml:space="preserve">.</w:t>
      </w:r>
    </w:p>
    <w:bookmarkStart w:id="9" w:name="executive-summary"/>
    <w:p>
      <w:pPr>
        <w:pStyle w:val="Heading2"/>
      </w:pPr>
      <w:r>
        <w:t xml:space="preserve">Executive summary</w:t>
      </w:r>
    </w:p>
    <w:p>
      <w:pPr>
        <w:pStyle w:val="FirstParagraph"/>
      </w:pPr>
      <w:r>
        <w:t xml:space="preserve">Chipotle enters Q2 earnings with expectations already reset well below the growth and margin profile investors historically associated with the company. The central question is no longer whether near-term margins will decline—they almost certainly will—but whether management’s</w:t>
      </w:r>
      <w:r>
        <w:t xml:space="preserve"> </w:t>
      </w:r>
      <w:r>
        <w:rPr>
          <w:b/>
          <w:bCs/>
        </w:rPr>
        <w:t xml:space="preserve">“Recipe for Growth” initiatives are producing durable transaction improvement</w:t>
      </w:r>
      <w:r>
        <w:t xml:space="preserve">.</w:t>
      </w:r>
    </w:p>
    <w:p>
      <w:pPr>
        <w:pStyle w:val="BodyText"/>
      </w:pPr>
      <w:r>
        <w:t xml:space="preserve">The available consensus snapshot calls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YoY change</w:t>
            </w:r>
          </w:p>
        </w:tc>
      </w:tr>
      <w:tr>
        <w:tc>
          <w:tcPr/>
          <w:p>
            <w:pPr>
              <w:pStyle w:val="Compact"/>
            </w:pPr>
            <w:r>
              <w:t xml:space="preserve">Comparable sales</w:t>
            </w:r>
          </w:p>
        </w:tc>
        <w:tc>
          <w:tcPr/>
          <w:p>
            <w:pPr>
              <w:pStyle w:val="Compact"/>
              <w:jc w:val="right"/>
            </w:pPr>
            <w:r>
              <w:rPr>
                <w:b/>
                <w:bCs/>
              </w:rPr>
              <w:t xml:space="preserve">+1.3%</w:t>
            </w:r>
          </w:p>
        </w:tc>
        <w:tc>
          <w:tcPr/>
          <w:p>
            <w:pPr>
              <w:pStyle w:val="Compact"/>
              <w:jc w:val="right"/>
            </w:pPr>
            <w:r>
              <w:rPr>
                <w:b/>
                <w:bCs/>
              </w:rPr>
              <w:t xml:space="preserve">-4.0%</w:t>
            </w:r>
          </w:p>
        </w:tc>
        <w:tc>
          <w:tcPr/>
          <w:p>
            <w:pPr>
              <w:pStyle w:val="Compact"/>
              <w:jc w:val="right"/>
            </w:pPr>
            <w:r>
              <w:t xml:space="preserve">Improvement</w:t>
            </w:r>
          </w:p>
        </w:tc>
      </w:tr>
      <w:tr>
        <w:tc>
          <w:tcPr/>
          <w:p>
            <w:pPr>
              <w:pStyle w:val="Compact"/>
            </w:pPr>
            <w:r>
              <w:t xml:space="preserve">Restaurant-level margin</w:t>
            </w:r>
          </w:p>
        </w:tc>
        <w:tc>
          <w:tcPr/>
          <w:p>
            <w:pPr>
              <w:pStyle w:val="Compact"/>
              <w:jc w:val="right"/>
            </w:pPr>
            <w:r>
              <w:rPr>
                <w:b/>
                <w:bCs/>
              </w:rPr>
              <w:t xml:space="preserve">~25.0%</w:t>
            </w:r>
          </w:p>
        </w:tc>
        <w:tc>
          <w:tcPr/>
          <w:p>
            <w:pPr>
              <w:pStyle w:val="Compact"/>
              <w:jc w:val="right"/>
            </w:pPr>
            <w:r>
              <w:rPr>
                <w:b/>
                <w:bCs/>
              </w:rPr>
              <w:t xml:space="preserve">27.4%</w:t>
            </w:r>
          </w:p>
        </w:tc>
        <w:tc>
          <w:tcPr/>
          <w:p>
            <w:pPr>
              <w:pStyle w:val="Compact"/>
              <w:jc w:val="right"/>
            </w:pPr>
            <w:r>
              <w:t xml:space="preserve">Down ~240 bps</w:t>
            </w:r>
          </w:p>
        </w:tc>
      </w:tr>
      <w:tr>
        <w:tc>
          <w:tcPr/>
          <w:p>
            <w:pPr>
              <w:pStyle w:val="Compact"/>
            </w:pPr>
            <w:r>
              <w:t xml:space="preserve">Adjusted EPS</w:t>
            </w:r>
          </w:p>
        </w:tc>
        <w:tc>
          <w:tcPr/>
          <w:p>
            <w:pPr>
              <w:pStyle w:val="Compact"/>
              <w:jc w:val="right"/>
            </w:pPr>
            <w:r>
              <w:rPr>
                <w:b/>
                <w:bCs/>
              </w:rPr>
              <w:t xml:space="preserve">$0.32</w:t>
            </w:r>
          </w:p>
        </w:tc>
        <w:tc>
          <w:tcPr/>
          <w:p>
            <w:pPr>
              <w:pStyle w:val="Compact"/>
              <w:jc w:val="right"/>
            </w:pPr>
            <w:r>
              <w:rPr>
                <w:b/>
                <w:bCs/>
              </w:rPr>
              <w:t xml:space="preserve">$0.33</w:t>
            </w:r>
          </w:p>
        </w:tc>
        <w:tc>
          <w:tcPr/>
          <w:p>
            <w:pPr>
              <w:pStyle w:val="Compact"/>
              <w:jc w:val="right"/>
            </w:pPr>
            <w:r>
              <w:t xml:space="preserve">Down ~3%</w:t>
            </w:r>
          </w:p>
        </w:tc>
      </w:tr>
    </w:tbl>
    <w:p>
      <w:pPr>
        <w:pStyle w:val="BodyText"/>
      </w:pPr>
      <w:r>
        <w:t xml:space="preserve">The headline numbers matter, but the stock’s reaction will probably be driven more by:</w:t>
      </w:r>
    </w:p>
    <w:p>
      <w:pPr>
        <w:pStyle w:val="Compact"/>
        <w:numPr>
          <w:ilvl w:val="0"/>
          <w:numId w:val="1001"/>
        </w:numPr>
      </w:pPr>
      <w:r>
        <w:rPr>
          <w:b/>
          <w:bCs/>
        </w:rPr>
        <w:t xml:space="preserve">Transaction growth and Q3-to-date sales</w:t>
      </w:r>
    </w:p>
    <w:p>
      <w:pPr>
        <w:pStyle w:val="Compact"/>
        <w:numPr>
          <w:ilvl w:val="0"/>
          <w:numId w:val="1001"/>
        </w:numPr>
      </w:pPr>
      <w:r>
        <w:t xml:space="preserve">Whether full-year comparable-sales guidance is raised from “about flat”</w:t>
      </w:r>
    </w:p>
    <w:p>
      <w:pPr>
        <w:pStyle w:val="Compact"/>
        <w:numPr>
          <w:ilvl w:val="0"/>
          <w:numId w:val="1001"/>
        </w:numPr>
      </w:pPr>
      <w:r>
        <w:t xml:space="preserve">The degree of food-cost and labor pressure</w:t>
      </w:r>
    </w:p>
    <w:p>
      <w:pPr>
        <w:pStyle w:val="Compact"/>
        <w:numPr>
          <w:ilvl w:val="0"/>
          <w:numId w:val="1001"/>
        </w:numPr>
      </w:pPr>
      <w:r>
        <w:t xml:space="preserve">Evidence that equipment, loyalty and menu initiatives are creating lasting—not promotional—traffic</w:t>
      </w:r>
    </w:p>
    <w:p>
      <w:pPr>
        <w:pStyle w:val="Compact"/>
        <w:numPr>
          <w:ilvl w:val="0"/>
          <w:numId w:val="1001"/>
        </w:numPr>
      </w:pPr>
      <w:r>
        <w:t xml:space="preserve">Management’s willingness to use pricing without weakening Chipotle’s value proposition</w:t>
      </w:r>
    </w:p>
    <w:bookmarkEnd w:id="9"/>
    <w:bookmarkStart w:id="10" w:name="set-up-going-into-the-report"/>
    <w:p>
      <w:pPr>
        <w:pStyle w:val="Heading2"/>
      </w:pPr>
      <w:r>
        <w:t xml:space="preserve">Set-up going into the report</w:t>
      </w:r>
    </w:p>
    <w:p>
      <w:pPr>
        <w:pStyle w:val="FirstParagraph"/>
      </w:pPr>
      <w:r>
        <w:t xml:space="preserve">CMG closed July 28 at approximately</w:t>
      </w:r>
      <w:r>
        <w:t xml:space="preserve"> </w:t>
      </w:r>
      <w:r>
        <w:rPr>
          <w:b/>
          <w:bCs/>
        </w:rPr>
        <w:t xml:space="preserve">$33.52</w:t>
      </w:r>
      <w:r>
        <w:t xml:space="preserve">, down about</w:t>
      </w:r>
      <w:r>
        <w:t xml:space="preserve"> </w:t>
      </w:r>
      <w:r>
        <w:rPr>
          <w:b/>
          <w:bCs/>
        </w:rPr>
        <w:t xml:space="preserve">11% from the beginning of 2026</w:t>
      </w:r>
      <w:r>
        <w:t xml:space="preserve">. The decline reflects concerns that Chipotle’s unit growth remains strong while its existing-store economics have weakened.</w:t>
      </w:r>
    </w:p>
    <w:p>
      <w:pPr>
        <w:pStyle w:val="BodyText"/>
      </w:pPr>
      <w:r>
        <w:t xml:space="preserve">Q1 offered some evidence of stabilization:</w:t>
      </w:r>
    </w:p>
    <w:p>
      <w:pPr>
        <w:pStyle w:val="Compact"/>
        <w:numPr>
          <w:ilvl w:val="0"/>
          <w:numId w:val="1002"/>
        </w:numPr>
      </w:pPr>
      <w:r>
        <w:t xml:space="preserve">Revenue increased</w:t>
      </w:r>
      <w:r>
        <w:t xml:space="preserve"> </w:t>
      </w:r>
      <w:r>
        <w:rPr>
          <w:b/>
          <w:bCs/>
        </w:rPr>
        <w:t xml:space="preserve">7.4%</w:t>
      </w:r>
      <w:r>
        <w:t xml:space="preserve"> </w:t>
      </w:r>
      <w:r>
        <w:t xml:space="preserve">to $3.09 billion.</w:t>
      </w:r>
    </w:p>
    <w:p>
      <w:pPr>
        <w:pStyle w:val="Compact"/>
        <w:numPr>
          <w:ilvl w:val="0"/>
          <w:numId w:val="1002"/>
        </w:numPr>
      </w:pPr>
      <w:r>
        <w:t xml:space="preserve">Comparable sales rose</w:t>
      </w:r>
      <w:r>
        <w:t xml:space="preserve"> </w:t>
      </w:r>
      <w:r>
        <w:rPr>
          <w:b/>
          <w:bCs/>
        </w:rPr>
        <w:t xml:space="preserve">0.5%</w:t>
      </w:r>
      <w:r>
        <w:t xml:space="preserve">.</w:t>
      </w:r>
    </w:p>
    <w:p>
      <w:pPr>
        <w:pStyle w:val="Compact"/>
        <w:numPr>
          <w:ilvl w:val="0"/>
          <w:numId w:val="1002"/>
        </w:numPr>
      </w:pPr>
      <w:r>
        <w:t xml:space="preserve">Transactions increased</w:t>
      </w:r>
      <w:r>
        <w:t xml:space="preserve"> </w:t>
      </w:r>
      <w:r>
        <w:rPr>
          <w:b/>
          <w:bCs/>
        </w:rPr>
        <w:t xml:space="preserve">0.6%</w:t>
      </w:r>
      <w:r>
        <w:t xml:space="preserve">, marking a return to positive traffic.</w:t>
      </w:r>
    </w:p>
    <w:p>
      <w:pPr>
        <w:pStyle w:val="Compact"/>
        <w:numPr>
          <w:ilvl w:val="0"/>
          <w:numId w:val="1002"/>
        </w:numPr>
      </w:pPr>
      <w:r>
        <w:t xml:space="preserve">Adjusted EPS declined</w:t>
      </w:r>
      <w:r>
        <w:t xml:space="preserve"> </w:t>
      </w:r>
      <w:r>
        <w:rPr>
          <w:b/>
          <w:bCs/>
        </w:rPr>
        <w:t xml:space="preserve">17%</w:t>
      </w:r>
      <w:r>
        <w:t xml:space="preserve"> </w:t>
      </w:r>
      <w:r>
        <w:t xml:space="preserve">to $0.24.</w:t>
      </w:r>
    </w:p>
    <w:p>
      <w:pPr>
        <w:pStyle w:val="Compact"/>
        <w:numPr>
          <w:ilvl w:val="0"/>
          <w:numId w:val="1002"/>
        </w:numPr>
      </w:pPr>
      <w:r>
        <w:t xml:space="preserve">Adjusted restaurant-level margin contracted</w:t>
      </w:r>
      <w:r>
        <w:t xml:space="preserve"> </w:t>
      </w:r>
      <w:r>
        <w:rPr>
          <w:b/>
          <w:bCs/>
        </w:rPr>
        <w:t xml:space="preserve">250 basis points</w:t>
      </w:r>
      <w:r>
        <w:t xml:space="preserve"> </w:t>
      </w:r>
      <w:r>
        <w:t xml:space="preserve">to 23.7%.</w:t>
      </w:r>
    </w:p>
    <w:p>
      <w:pPr>
        <w:pStyle w:val="FirstParagraph"/>
      </w:pPr>
      <w:r>
        <w:t xml:space="preserve">Management subsequently indicated that it was modeling approximately</w:t>
      </w:r>
      <w:r>
        <w:t xml:space="preserve"> </w:t>
      </w:r>
      <w:r>
        <w:rPr>
          <w:b/>
          <w:bCs/>
        </w:rPr>
        <w:t xml:space="preserve">1% Q2 comparable-sales growth</w:t>
      </w:r>
      <w:r>
        <w:t xml:space="preserve">. The current consensus near 1.3% is therefore only modestly above the company’s initial framework.</w:t>
      </w:r>
    </w:p>
    <w:p>
      <w:pPr>
        <w:pStyle w:val="BodyText"/>
      </w:pPr>
      <w:r>
        <w:t xml:space="preserve">That creates a relatively low headline hurdle, but the quality of the comp will be crucial. Management expected approximately</w:t>
      </w:r>
      <w:r>
        <w:t xml:space="preserve"> </w:t>
      </w:r>
      <w:r>
        <w:rPr>
          <w:b/>
          <w:bCs/>
        </w:rPr>
        <w:t xml:space="preserve">1.5% menu pricing</w:t>
      </w:r>
      <w:r>
        <w:t xml:space="preserve"> </w:t>
      </w:r>
      <w:r>
        <w:t xml:space="preserve">and roughly flat mix during Q2. If those assumptions held, a 1.3% comp could imply traffic that was approximately flat to slightly negative. Investors are likely to distinguish sharply between a pricing-led beat and genuine transaction growth.</w:t>
      </w:r>
    </w:p>
    <w:bookmarkEnd w:id="10"/>
    <w:bookmarkStart w:id="16" w:name="what-investors-should-focus-on"/>
    <w:p>
      <w:pPr>
        <w:pStyle w:val="Heading2"/>
      </w:pPr>
      <w:r>
        <w:t xml:space="preserve">What investors should focus on</w:t>
      </w:r>
    </w:p>
    <w:bookmarkStart w:id="11" w:name="X1cf9e0fd392d91ed4b450126cc9e6290f06c743"/>
    <w:p>
      <w:pPr>
        <w:pStyle w:val="Heading3"/>
      </w:pPr>
      <w:r>
        <w:t xml:space="preserve">1. Transactions are the most important KPI</w:t>
      </w:r>
    </w:p>
    <w:p>
      <w:pPr>
        <w:pStyle w:val="FirstParagraph"/>
      </w:pPr>
      <w:r>
        <w:t xml:space="preserve">Chipotle’s investment case depends on maintaining high restaurant volumes while opening hundreds of new locations annually. Positive traffic is therefore much more valuable than a comparable-sales result driven by price or premium protein mix.</w:t>
      </w:r>
    </w:p>
    <w:p>
      <w:pPr>
        <w:pStyle w:val="BodyText"/>
      </w:pPr>
      <w:r>
        <w:t xml:space="preserve">Q2 had several potential traffic drivers:</w:t>
      </w:r>
    </w:p>
    <w:p>
      <w:pPr>
        <w:pStyle w:val="Compact"/>
        <w:numPr>
          <w:ilvl w:val="0"/>
          <w:numId w:val="1003"/>
        </w:numPr>
      </w:pPr>
      <w:r>
        <w:t xml:space="preserve">Chipotle Honey Chicken, launched near the beginning of the quarter</w:t>
      </w:r>
    </w:p>
    <w:p>
      <w:pPr>
        <w:pStyle w:val="Compact"/>
        <w:numPr>
          <w:ilvl w:val="0"/>
          <w:numId w:val="1003"/>
        </w:numPr>
      </w:pPr>
      <w:r>
        <w:t xml:space="preserve">Cilantro-Lime Sauce</w:t>
      </w:r>
    </w:p>
    <w:p>
      <w:pPr>
        <w:pStyle w:val="Compact"/>
        <w:numPr>
          <w:ilvl w:val="0"/>
          <w:numId w:val="1003"/>
        </w:numPr>
      </w:pPr>
      <w:r>
        <w:t xml:space="preserve">The refreshed rewards program</w:t>
      </w:r>
    </w:p>
    <w:p>
      <w:pPr>
        <w:pStyle w:val="Compact"/>
        <w:numPr>
          <w:ilvl w:val="0"/>
          <w:numId w:val="1003"/>
        </w:numPr>
      </w:pPr>
      <w:r>
        <w:t xml:space="preserve">Greater marketing support</w:t>
      </w:r>
    </w:p>
    <w:p>
      <w:pPr>
        <w:pStyle w:val="Compact"/>
        <w:numPr>
          <w:ilvl w:val="0"/>
          <w:numId w:val="1003"/>
        </w:numPr>
      </w:pPr>
      <w:r>
        <w:t xml:space="preserve">Improved staffing, hospitality and restaurant execution</w:t>
      </w:r>
    </w:p>
    <w:p>
      <w:pPr>
        <w:pStyle w:val="Compact"/>
        <w:numPr>
          <w:ilvl w:val="0"/>
          <w:numId w:val="1003"/>
        </w:numPr>
      </w:pPr>
      <w:r>
        <w:t xml:space="preserve">The high-efficiency equipment rollout</w:t>
      </w:r>
    </w:p>
    <w:p>
      <w:pPr>
        <w:pStyle w:val="FirstParagraph"/>
      </w:pPr>
      <w:r>
        <w:t xml:space="preserve">Management previously said protein limited-time offers can produce several hundred basis points of transaction lift early in their run, with some of the benefit retained after the promotion ends.</w:t>
      </w:r>
    </w:p>
    <w:p>
      <w:pPr>
        <w:pStyle w:val="BodyText"/>
      </w:pPr>
      <w:r>
        <w:rPr>
          <w:b/>
          <w:bCs/>
        </w:rPr>
        <w:t xml:space="preserve">Key question:</w:t>
      </w:r>
      <w:r>
        <w:t xml:space="preserve"> </w:t>
      </w:r>
      <w:r>
        <w:t xml:space="preserve">Did transactions remain positive throughout Q2, or did the company need menu innovation and promotions merely to offset underlying consumer weakness?</w:t>
      </w:r>
    </w:p>
    <w:p>
      <w:pPr>
        <w:pStyle w:val="BodyText"/>
      </w:pPr>
      <w:r>
        <w:t xml:space="preserve">A comp beat with positive traffic would be constructive. A beat driven entirely by pricing and mix would be less convincing.</w:t>
      </w:r>
    </w:p>
    <w:bookmarkEnd w:id="11"/>
    <w:bookmarkStart w:id="12" w:name="Xdfe814e1627b071eeb95d6de1ee6d544b8d2c95"/>
    <w:p>
      <w:pPr>
        <w:pStyle w:val="Heading3"/>
      </w:pPr>
      <w:r>
        <w:t xml:space="preserve">2. Q3-to-date commentary may outweigh Q2 results</w:t>
      </w:r>
    </w:p>
    <w:p>
      <w:pPr>
        <w:pStyle w:val="FirstParagraph"/>
      </w:pPr>
      <w:r>
        <w:t xml:space="preserve">Chipotle will provide an update on third-quarter trends during the call. This will likely be the single most market-moving disclosure.</w:t>
      </w:r>
    </w:p>
    <w:p>
      <w:pPr>
        <w:pStyle w:val="BodyText"/>
      </w:pPr>
      <w:r>
        <w:t xml:space="preserve">The consumer backdrop remains uncertain, especially among younger and lower- to middle-income customers. Higher gasoline and other household costs could pressure discretionary restaurant visits, while recent food-safety headlines affecting the broader restaurant industry add another source of short-term traffic volatility.</w:t>
      </w:r>
    </w:p>
    <w:p>
      <w:pPr>
        <w:pStyle w:val="BodyText"/>
      </w:pPr>
      <w:r>
        <w:t xml:space="preserve">Investors should listen for:</w:t>
      </w:r>
    </w:p>
    <w:p>
      <w:pPr>
        <w:pStyle w:val="Compact"/>
        <w:numPr>
          <w:ilvl w:val="0"/>
          <w:numId w:val="1004"/>
        </w:numPr>
      </w:pPr>
      <w:r>
        <w:t xml:space="preserve">July comparable-sales direction</w:t>
      </w:r>
    </w:p>
    <w:p>
      <w:pPr>
        <w:pStyle w:val="Compact"/>
        <w:numPr>
          <w:ilvl w:val="0"/>
          <w:numId w:val="1004"/>
        </w:numPr>
      </w:pPr>
      <w:r>
        <w:t xml:space="preserve">Transaction trends by income and age cohort</w:t>
      </w:r>
    </w:p>
    <w:p>
      <w:pPr>
        <w:pStyle w:val="Compact"/>
        <w:numPr>
          <w:ilvl w:val="0"/>
          <w:numId w:val="1004"/>
        </w:numPr>
      </w:pPr>
      <w:r>
        <w:t xml:space="preserve">The impact of elevated fuel prices</w:t>
      </w:r>
    </w:p>
    <w:p>
      <w:pPr>
        <w:pStyle w:val="Compact"/>
        <w:numPr>
          <w:ilvl w:val="0"/>
          <w:numId w:val="1004"/>
        </w:numPr>
      </w:pPr>
      <w:r>
        <w:t xml:space="preserve">Any regional divergence</w:t>
      </w:r>
    </w:p>
    <w:p>
      <w:pPr>
        <w:pStyle w:val="Compact"/>
        <w:numPr>
          <w:ilvl w:val="0"/>
          <w:numId w:val="1004"/>
        </w:numPr>
      </w:pPr>
      <w:r>
        <w:t xml:space="preserve">Whether Honey Chicken generated a lasting lift</w:t>
      </w:r>
    </w:p>
    <w:p>
      <w:pPr>
        <w:pStyle w:val="Compact"/>
        <w:numPr>
          <w:ilvl w:val="0"/>
          <w:numId w:val="1004"/>
        </w:numPr>
      </w:pPr>
      <w:r>
        <w:t xml:space="preserve">Early performance of subsequent menu or value tests</w:t>
      </w:r>
    </w:p>
    <w:p>
      <w:pPr>
        <w:pStyle w:val="FirstParagraph"/>
      </w:pPr>
      <w:r>
        <w:t xml:space="preserve">A Q2 beat accompanied by weak July trends would probably be treated cautiously. Conversely, an in-line Q2 with accelerating Q3-to-date traffic could support the stock.</w:t>
      </w:r>
    </w:p>
    <w:bookmarkEnd w:id="12"/>
    <w:bookmarkStart w:id="13" w:name="X3762fa641ad3fbe39cc69eb422a134d83a956b7"/>
    <w:p>
      <w:pPr>
        <w:pStyle w:val="Heading3"/>
      </w:pPr>
      <w:r>
        <w:t xml:space="preserve">3. Margin pressure is expected—but the bridge matters</w:t>
      </w:r>
    </w:p>
    <w:p>
      <w:pPr>
        <w:pStyle w:val="FirstParagraph"/>
      </w:pPr>
      <w:r>
        <w:t xml:space="preserve">Management’s Q2 cost framework included:</w:t>
      </w:r>
    </w:p>
    <w:p>
      <w:pPr>
        <w:pStyle w:val="Compact"/>
        <w:numPr>
          <w:ilvl w:val="0"/>
          <w:numId w:val="1005"/>
        </w:numPr>
      </w:pPr>
      <w:r>
        <w:t xml:space="preserve">Food, beverage and packaging costs of approximately</w:t>
      </w:r>
      <w:r>
        <w:t xml:space="preserve"> </w:t>
      </w:r>
      <w:r>
        <w:rPr>
          <w:b/>
          <w:bCs/>
        </w:rPr>
        <w:t xml:space="preserve">30% of sales</w:t>
      </w:r>
    </w:p>
    <w:p>
      <w:pPr>
        <w:pStyle w:val="Compact"/>
        <w:numPr>
          <w:ilvl w:val="0"/>
          <w:numId w:val="1005"/>
        </w:numPr>
      </w:pPr>
      <w:r>
        <w:t xml:space="preserve">Labor in the</w:t>
      </w:r>
      <w:r>
        <w:t xml:space="preserve"> </w:t>
      </w:r>
      <w:r>
        <w:rPr>
          <w:b/>
          <w:bCs/>
        </w:rPr>
        <w:t xml:space="preserve">low-25% range</w:t>
      </w:r>
    </w:p>
    <w:p>
      <w:pPr>
        <w:pStyle w:val="Compact"/>
        <w:numPr>
          <w:ilvl w:val="0"/>
          <w:numId w:val="1005"/>
        </w:numPr>
      </w:pPr>
      <w:r>
        <w:t xml:space="preserve">Other operating costs in the</w:t>
      </w:r>
      <w:r>
        <w:t xml:space="preserve"> </w:t>
      </w:r>
      <w:r>
        <w:rPr>
          <w:b/>
          <w:bCs/>
        </w:rPr>
        <w:t xml:space="preserve">high-14% range</w:t>
      </w:r>
    </w:p>
    <w:p>
      <w:pPr>
        <w:pStyle w:val="Compact"/>
        <w:numPr>
          <w:ilvl w:val="0"/>
          <w:numId w:val="1005"/>
        </w:numPr>
      </w:pPr>
      <w:r>
        <w:t xml:space="preserve">Marketing in the</w:t>
      </w:r>
      <w:r>
        <w:t xml:space="preserve"> </w:t>
      </w:r>
      <w:r>
        <w:rPr>
          <w:b/>
          <w:bCs/>
        </w:rPr>
        <w:t xml:space="preserve">low-3% range</w:t>
      </w:r>
    </w:p>
    <w:p>
      <w:pPr>
        <w:pStyle w:val="Compact"/>
        <w:numPr>
          <w:ilvl w:val="0"/>
          <w:numId w:val="1005"/>
        </w:numPr>
      </w:pPr>
      <w:r>
        <w:t xml:space="preserve">Non-GAAP G&amp;A of approximately</w:t>
      </w:r>
      <w:r>
        <w:t xml:space="preserve"> </w:t>
      </w:r>
      <w:r>
        <w:rPr>
          <w:b/>
          <w:bCs/>
        </w:rPr>
        <w:t xml:space="preserve">$181 million</w:t>
      </w:r>
    </w:p>
    <w:p>
      <w:pPr>
        <w:pStyle w:val="FirstParagraph"/>
      </w:pPr>
      <w:r>
        <w:t xml:space="preserve">The resulting restaurant-margin expectation of roughly 25% implies significant compression from last year’s 27.4%.</w:t>
      </w:r>
    </w:p>
    <w:p>
      <w:pPr>
        <w:pStyle w:val="BodyText"/>
      </w:pPr>
      <w:r>
        <w:t xml:space="preserve">The main pressures are:</w:t>
      </w:r>
    </w:p>
    <w:p>
      <w:pPr>
        <w:pStyle w:val="Compact"/>
        <w:numPr>
          <w:ilvl w:val="0"/>
          <w:numId w:val="1006"/>
        </w:numPr>
      </w:pPr>
      <w:r>
        <w:t xml:space="preserve">Mid-single-digit food-cost inflation</w:t>
      </w:r>
    </w:p>
    <w:p>
      <w:pPr>
        <w:pStyle w:val="Compact"/>
        <w:numPr>
          <w:ilvl w:val="0"/>
          <w:numId w:val="1006"/>
        </w:numPr>
      </w:pPr>
      <w:r>
        <w:t xml:space="preserve">Higher avocado, dairy and beef costs</w:t>
      </w:r>
    </w:p>
    <w:p>
      <w:pPr>
        <w:pStyle w:val="Compact"/>
        <w:numPr>
          <w:ilvl w:val="0"/>
          <w:numId w:val="1006"/>
        </w:numPr>
      </w:pPr>
      <w:r>
        <w:t xml:space="preserve">Wage inflation</w:t>
      </w:r>
    </w:p>
    <w:p>
      <w:pPr>
        <w:pStyle w:val="Compact"/>
        <w:numPr>
          <w:ilvl w:val="0"/>
          <w:numId w:val="1006"/>
        </w:numPr>
      </w:pPr>
      <w:r>
        <w:t xml:space="preserve">Marketing investment</w:t>
      </w:r>
    </w:p>
    <w:p>
      <w:pPr>
        <w:pStyle w:val="Compact"/>
        <w:numPr>
          <w:ilvl w:val="0"/>
          <w:numId w:val="1006"/>
        </w:numPr>
      </w:pPr>
      <w:r>
        <w:t xml:space="preserve">Insufficient comparable-sales growth to leverage fixed restaurant expenses</w:t>
      </w:r>
    </w:p>
    <w:p>
      <w:pPr>
        <w:pStyle w:val="FirstParagraph"/>
      </w:pPr>
      <w:r>
        <w:t xml:space="preserve">Management previously expected food inflation to ease to the low- to mid-single digits during the second half as Chipotle laps elevated beef costs. Confirmation of that trajectory would be important.</w:t>
      </w:r>
    </w:p>
    <w:p>
      <w:pPr>
        <w:pStyle w:val="BodyText"/>
      </w:pPr>
      <w:r>
        <w:rPr>
          <w:b/>
          <w:bCs/>
        </w:rPr>
        <w:t xml:space="preserve">What would constitute a good result:</w:t>
      </w:r>
      <w:r>
        <w:t xml:space="preserve"> </w:t>
      </w:r>
      <w:r>
        <w:t xml:space="preserve">Restaurant margin around or above 25%, supported by better sales and operating efficiency rather than reduced marketing or restaurant investment.</w:t>
      </w:r>
    </w:p>
    <w:p>
      <w:pPr>
        <w:pStyle w:val="BodyText"/>
      </w:pPr>
      <w:r>
        <w:rPr>
          <w:b/>
          <w:bCs/>
        </w:rPr>
        <w:t xml:space="preserve">What would be concerning:</w:t>
      </w:r>
      <w:r>
        <w:t xml:space="preserve"> </w:t>
      </w:r>
      <w:r>
        <w:t xml:space="preserve">A margin miss caused by food inflation running above plan, labor inefficiency or weak average unit volumes.</w:t>
      </w:r>
    </w:p>
    <w:bookmarkEnd w:id="13"/>
    <w:bookmarkStart w:id="14" w:name="X9b3ef5cc451f617368cb1e62db5db88801e0e74"/>
    <w:p>
      <w:pPr>
        <w:pStyle w:val="Heading3"/>
      </w:pPr>
      <w:r>
        <w:t xml:space="preserve">4. Full-year guidance has room for an upgrade</w:t>
      </w:r>
    </w:p>
    <w:p>
      <w:pPr>
        <w:pStyle w:val="FirstParagraph"/>
      </w:pPr>
      <w:r>
        <w:t xml:space="preserve">Current 2026 guidance includes:</w:t>
      </w:r>
    </w:p>
    <w:p>
      <w:pPr>
        <w:pStyle w:val="Compact"/>
        <w:numPr>
          <w:ilvl w:val="0"/>
          <w:numId w:val="1007"/>
        </w:numPr>
      </w:pPr>
      <w:r>
        <w:t xml:space="preserve">Comparable restaurant sales</w:t>
      </w:r>
      <w:r>
        <w:t xml:space="preserve"> </w:t>
      </w:r>
      <w:r>
        <w:rPr>
          <w:b/>
          <w:bCs/>
        </w:rPr>
        <w:t xml:space="preserve">about flat</w:t>
      </w:r>
    </w:p>
    <w:p>
      <w:pPr>
        <w:pStyle w:val="Compact"/>
        <w:numPr>
          <w:ilvl w:val="0"/>
          <w:numId w:val="1007"/>
        </w:numPr>
      </w:pPr>
      <w:r>
        <w:rPr>
          <w:b/>
          <w:bCs/>
        </w:rPr>
        <w:t xml:space="preserve">350–370</w:t>
      </w:r>
      <w:r>
        <w:t xml:space="preserve"> </w:t>
      </w:r>
      <w:r>
        <w:t xml:space="preserve">total new openings, including 10–15 international partner-operated restaurants</w:t>
      </w:r>
    </w:p>
    <w:p>
      <w:pPr>
        <w:pStyle w:val="Compact"/>
        <w:numPr>
          <w:ilvl w:val="0"/>
          <w:numId w:val="1007"/>
        </w:numPr>
      </w:pPr>
      <w:r>
        <w:t xml:space="preserve">Approximately 80% of company-operated openings with a Chipotlane</w:t>
      </w:r>
    </w:p>
    <w:p>
      <w:pPr>
        <w:pStyle w:val="Compact"/>
        <w:numPr>
          <w:ilvl w:val="0"/>
          <w:numId w:val="1007"/>
        </w:numPr>
      </w:pPr>
      <w:r>
        <w:t xml:space="preserve">Underlying tax rate of 24%–26%</w:t>
      </w:r>
    </w:p>
    <w:p>
      <w:pPr>
        <w:pStyle w:val="FirstParagraph"/>
      </w:pPr>
      <w:r>
        <w:t xml:space="preserve">If Q2 comps are approximately 1%–1.5% after Q1’s 0.5% gain, Chipotle would enter the second half tracking above its flat full-year comp outlook. Management could nevertheless retain the guidance because of consumer and geopolitical uncertainty.</w:t>
      </w:r>
    </w:p>
    <w:p>
      <w:pPr>
        <w:pStyle w:val="BodyText"/>
      </w:pPr>
      <w:r>
        <w:t xml:space="preserve">The signal will be in the language:</w:t>
      </w:r>
    </w:p>
    <w:p>
      <w:pPr>
        <w:pStyle w:val="Compact"/>
        <w:numPr>
          <w:ilvl w:val="0"/>
          <w:numId w:val="1008"/>
        </w:numPr>
      </w:pPr>
      <w:r>
        <w:rPr>
          <w:b/>
          <w:bCs/>
        </w:rPr>
        <w:t xml:space="preserve">Bullish:</w:t>
      </w:r>
      <w:r>
        <w:t xml:space="preserve"> </w:t>
      </w:r>
      <w:r>
        <w:t xml:space="preserve">Guidance raised to positive low-single-digit comps, or management explicitly says current trends are above the existing outlook.</w:t>
      </w:r>
    </w:p>
    <w:p>
      <w:pPr>
        <w:pStyle w:val="Compact"/>
        <w:numPr>
          <w:ilvl w:val="0"/>
          <w:numId w:val="1008"/>
        </w:numPr>
      </w:pPr>
      <w:r>
        <w:rPr>
          <w:b/>
          <w:bCs/>
        </w:rPr>
        <w:t xml:space="preserve">Neutral:</w:t>
      </w:r>
      <w:r>
        <w:t xml:space="preserve"> </w:t>
      </w:r>
      <w:r>
        <w:t xml:space="preserve">Flat guidance retained but characterized as conservative.</w:t>
      </w:r>
    </w:p>
    <w:p>
      <w:pPr>
        <w:pStyle w:val="Compact"/>
        <w:numPr>
          <w:ilvl w:val="0"/>
          <w:numId w:val="1008"/>
        </w:numPr>
      </w:pPr>
      <w:r>
        <w:rPr>
          <w:b/>
          <w:bCs/>
        </w:rPr>
        <w:t xml:space="preserve">Bearish:</w:t>
      </w:r>
      <w:r>
        <w:t xml:space="preserve"> </w:t>
      </w:r>
      <w:r>
        <w:t xml:space="preserve">Flat guidance retained because Q3 trends have weakened, or management suggests full-year results are now tracking toward the low end of expectations.</w:t>
      </w:r>
    </w:p>
    <w:p>
      <w:pPr>
        <w:pStyle w:val="FirstParagraph"/>
      </w:pPr>
      <w:r>
        <w:t xml:space="preserve">Investors should also watch whether Middle East opening delays cause the company to reduce the partner-operated portion of its unit forecast.</w:t>
      </w:r>
    </w:p>
    <w:bookmarkEnd w:id="14"/>
    <w:bookmarkStart w:id="15" w:name="Xe4b3ad55787d2f4520ffe3f4d7371ac5f2c5100"/>
    <w:p>
      <w:pPr>
        <w:pStyle w:val="Heading3"/>
      </w:pPr>
      <w:r>
        <w:t xml:space="preserve">5. Are operational investments showing up in the numbers?</w:t>
      </w:r>
    </w:p>
    <w:p>
      <w:pPr>
        <w:pStyle w:val="FirstParagraph"/>
      </w:pPr>
      <w:r>
        <w:t xml:space="preserve">At the end of Q1, Chipotle’s high-efficiency equipment package was installed in more than</w:t>
      </w:r>
      <w:r>
        <w:t xml:space="preserve"> </w:t>
      </w:r>
      <w:r>
        <w:rPr>
          <w:b/>
          <w:bCs/>
        </w:rPr>
        <w:t xml:space="preserve">600 restaurants</w:t>
      </w:r>
      <w:r>
        <w:t xml:space="preserve">, with a target of</w:t>
      </w:r>
      <w:r>
        <w:t xml:space="preserve"> </w:t>
      </w:r>
      <w:r>
        <w:rPr>
          <w:b/>
          <w:bCs/>
        </w:rPr>
        <w:t xml:space="preserve">2,000 by year-end</w:t>
      </w:r>
      <w:r>
        <w:t xml:space="preserve">. Management said equipped restaurants were producing:</w:t>
      </w:r>
    </w:p>
    <w:p>
      <w:pPr>
        <w:pStyle w:val="Compact"/>
        <w:numPr>
          <w:ilvl w:val="0"/>
          <w:numId w:val="1009"/>
        </w:numPr>
      </w:pPr>
      <w:r>
        <w:t xml:space="preserve">Better throughput</w:t>
      </w:r>
    </w:p>
    <w:p>
      <w:pPr>
        <w:pStyle w:val="Compact"/>
        <w:numPr>
          <w:ilvl w:val="0"/>
          <w:numId w:val="1009"/>
        </w:numPr>
      </w:pPr>
      <w:r>
        <w:t xml:space="preserve">Improved food quality and satisfaction scores</w:t>
      </w:r>
    </w:p>
    <w:p>
      <w:pPr>
        <w:pStyle w:val="Compact"/>
        <w:numPr>
          <w:ilvl w:val="0"/>
          <w:numId w:val="1009"/>
        </w:numPr>
      </w:pPr>
      <w:r>
        <w:t xml:space="preserve">Hundreds of basis points of comparable-sales outperformance</w:t>
      </w:r>
    </w:p>
    <w:p>
      <w:pPr>
        <w:pStyle w:val="Compact"/>
        <w:numPr>
          <w:ilvl w:val="0"/>
          <w:numId w:val="1009"/>
        </w:numPr>
      </w:pPr>
      <w:r>
        <w:t xml:space="preserve">Labor time that was being reinvested into hospitality rather than removed from the restaurants</w:t>
      </w:r>
    </w:p>
    <w:p>
      <w:pPr>
        <w:pStyle w:val="FirstParagraph"/>
      </w:pPr>
      <w:r>
        <w:t xml:space="preserve">Chipotle has also been rolling out its new digital makeline display, “Chipotle Kitchen,” and expanding the functionality of its Ava Cado AI assistant.</w:t>
      </w:r>
    </w:p>
    <w:p>
      <w:pPr>
        <w:pStyle w:val="BodyText"/>
      </w:pPr>
      <w:r>
        <w:t xml:space="preserve">Investors should seek updated disclosure on:</w:t>
      </w:r>
    </w:p>
    <w:p>
      <w:pPr>
        <w:pStyle w:val="Compact"/>
        <w:numPr>
          <w:ilvl w:val="0"/>
          <w:numId w:val="1010"/>
        </w:numPr>
      </w:pPr>
      <w:r>
        <w:t xml:space="preserve">Number of restaurants with the equipment package</w:t>
      </w:r>
    </w:p>
    <w:p>
      <w:pPr>
        <w:pStyle w:val="Compact"/>
        <w:numPr>
          <w:ilvl w:val="0"/>
          <w:numId w:val="1010"/>
        </w:numPr>
      </w:pPr>
      <w:r>
        <w:t xml:space="preserve">Whether the reported 200–400 basis points of sales outperformance has persisted</w:t>
      </w:r>
    </w:p>
    <w:p>
      <w:pPr>
        <w:pStyle w:val="Compact"/>
        <w:numPr>
          <w:ilvl w:val="0"/>
          <w:numId w:val="1010"/>
        </w:numPr>
      </w:pPr>
      <w:r>
        <w:t xml:space="preserve">Throughput and order-accuracy improvement</w:t>
      </w:r>
    </w:p>
    <w:p>
      <w:pPr>
        <w:pStyle w:val="Compact"/>
        <w:numPr>
          <w:ilvl w:val="0"/>
          <w:numId w:val="1010"/>
        </w:numPr>
      </w:pPr>
      <w:r>
        <w:t xml:space="preserve">Labor productivity</w:t>
      </w:r>
    </w:p>
    <w:p>
      <w:pPr>
        <w:pStyle w:val="Compact"/>
        <w:numPr>
          <w:ilvl w:val="0"/>
          <w:numId w:val="1010"/>
        </w:numPr>
      </w:pPr>
      <w:r>
        <w:t xml:space="preserve">Timing for the full-system rollout</w:t>
      </w:r>
    </w:p>
    <w:p>
      <w:pPr>
        <w:pStyle w:val="FirstParagraph"/>
      </w:pPr>
      <w:r>
        <w:t xml:space="preserve">These investments are important because they offer a route to better sales and margins without relying heavily on menu-price increases.</w:t>
      </w:r>
    </w:p>
    <w:bookmarkEnd w:id="15"/>
    <w:bookmarkEnd w:id="16"/>
    <w:bookmarkStart w:id="21" w:name="other-strategic-items-to-monitor"/>
    <w:p>
      <w:pPr>
        <w:pStyle w:val="Heading2"/>
      </w:pPr>
      <w:r>
        <w:t xml:space="preserve">Other strategic items to monitor</w:t>
      </w:r>
    </w:p>
    <w:bookmarkStart w:id="17" w:name="rewards-and-digital-engagement"/>
    <w:p>
      <w:pPr>
        <w:pStyle w:val="Heading3"/>
      </w:pPr>
      <w:r>
        <w:t xml:space="preserve">Rewards and digital engagement</w:t>
      </w:r>
    </w:p>
    <w:p>
      <w:pPr>
        <w:pStyle w:val="FirstParagraph"/>
      </w:pPr>
      <w:r>
        <w:t xml:space="preserve">Loyalty represented</w:t>
      </w:r>
      <w:r>
        <w:t xml:space="preserve"> </w:t>
      </w:r>
      <w:r>
        <w:rPr>
          <w:b/>
          <w:bCs/>
        </w:rPr>
        <w:t xml:space="preserve">32% of Q1 sales</w:t>
      </w:r>
      <w:r>
        <w:t xml:space="preserve">, up 300 basis points year over year, while the rewards refresh increased daily enrollment by nearly 25%. The opportunity is especially large in restaurants, where only about 20% of transactions were linked to rewards versus nearly 90% in the app.</w:t>
      </w:r>
    </w:p>
    <w:p>
      <w:pPr>
        <w:pStyle w:val="BodyText"/>
      </w:pPr>
      <w:r>
        <w:t xml:space="preserve">The key is whether rewards are increasing visit frequency profitably rather than simply subsidizing existing customers.</w:t>
      </w:r>
    </w:p>
    <w:bookmarkEnd w:id="17"/>
    <w:bookmarkStart w:id="18" w:name="marketing-effectiveness"/>
    <w:p>
      <w:pPr>
        <w:pStyle w:val="Heading3"/>
      </w:pPr>
      <w:r>
        <w:t xml:space="preserve">Marketing effectiveness</w:t>
      </w:r>
    </w:p>
    <w:p>
      <w:pPr>
        <w:pStyle w:val="FirstParagraph"/>
      </w:pPr>
      <w:r>
        <w:t xml:space="preserve">Chipotle increased marketing to support more frequent menu innovation and cultural relevance. New Chief Brand Officer Fernando Machado and Chief Digital Officer Arlie Sisson should provide greater strategic direction in the second half.</w:t>
      </w:r>
    </w:p>
    <w:p>
      <w:pPr>
        <w:pStyle w:val="BodyText"/>
      </w:pPr>
      <w:r>
        <w:t xml:space="preserve">Investors should ask whether the higher spending is producing sufficient incremental transactions and how marketing will evolve under the new leadership.</w:t>
      </w:r>
    </w:p>
    <w:bookmarkEnd w:id="18"/>
    <w:bookmarkStart w:id="19" w:name="new-unit-productivity"/>
    <w:p>
      <w:pPr>
        <w:pStyle w:val="Heading3"/>
      </w:pPr>
      <w:r>
        <w:t xml:space="preserve">New-unit productivity</w:t>
      </w:r>
    </w:p>
    <w:p>
      <w:pPr>
        <w:pStyle w:val="FirstParagraph"/>
      </w:pPr>
      <w:r>
        <w:t xml:space="preserve">Chipotle continues to target at least</w:t>
      </w:r>
      <w:r>
        <w:t xml:space="preserve"> </w:t>
      </w:r>
      <w:r>
        <w:rPr>
          <w:b/>
          <w:bCs/>
        </w:rPr>
        <w:t xml:space="preserve">7,000 restaurants in the U.S. and Canada</w:t>
      </w:r>
      <w:r>
        <w:t xml:space="preserve">, making new-unit economics central to the long-term story. Management said recent openings were generating approximately 80% of mature-store volumes, consistent with historical performance.</w:t>
      </w:r>
    </w:p>
    <w:p>
      <w:pPr>
        <w:pStyle w:val="BodyText"/>
      </w:pPr>
      <w:r>
        <w:t xml:space="preserve">Watch for:</w:t>
      </w:r>
    </w:p>
    <w:p>
      <w:pPr>
        <w:pStyle w:val="Compact"/>
        <w:numPr>
          <w:ilvl w:val="0"/>
          <w:numId w:val="1011"/>
        </w:numPr>
      </w:pPr>
      <w:r>
        <w:t xml:space="preserve">Updated opening cadence</w:t>
      </w:r>
    </w:p>
    <w:p>
      <w:pPr>
        <w:pStyle w:val="Compact"/>
        <w:numPr>
          <w:ilvl w:val="0"/>
          <w:numId w:val="1011"/>
        </w:numPr>
      </w:pPr>
      <w:r>
        <w:t xml:space="preserve">Construction or equipment bottlenecks</w:t>
      </w:r>
    </w:p>
    <w:p>
      <w:pPr>
        <w:pStyle w:val="Compact"/>
        <w:numPr>
          <w:ilvl w:val="0"/>
          <w:numId w:val="1011"/>
        </w:numPr>
      </w:pPr>
      <w:r>
        <w:t xml:space="preserve">New-unit volumes</w:t>
      </w:r>
    </w:p>
    <w:p>
      <w:pPr>
        <w:pStyle w:val="Compact"/>
        <w:numPr>
          <w:ilvl w:val="0"/>
          <w:numId w:val="1011"/>
        </w:numPr>
      </w:pPr>
      <w:r>
        <w:t xml:space="preserve">Development costs</w:t>
      </w:r>
    </w:p>
    <w:p>
      <w:pPr>
        <w:pStyle w:val="Compact"/>
        <w:numPr>
          <w:ilvl w:val="0"/>
          <w:numId w:val="1011"/>
        </w:numPr>
      </w:pPr>
      <w:r>
        <w:t xml:space="preserve">Cannibalization</w:t>
      </w:r>
    </w:p>
    <w:p>
      <w:pPr>
        <w:pStyle w:val="Compact"/>
        <w:numPr>
          <w:ilvl w:val="0"/>
          <w:numId w:val="1011"/>
        </w:numPr>
      </w:pPr>
      <w:r>
        <w:t xml:space="preserve">Returns from Chipotlane locations</w:t>
      </w:r>
    </w:p>
    <w:bookmarkEnd w:id="19"/>
    <w:bookmarkStart w:id="20" w:name="international-expansion"/>
    <w:p>
      <w:pPr>
        <w:pStyle w:val="Heading3"/>
      </w:pPr>
      <w:r>
        <w:t xml:space="preserve">International expansion</w:t>
      </w:r>
    </w:p>
    <w:p>
      <w:pPr>
        <w:pStyle w:val="FirstParagraph"/>
      </w:pPr>
      <w:r>
        <w:t xml:space="preserve">Chipotle opened its first Mexico location on July 16 through partner Alsea. Mexico, South Korea and Europe represent incremental long-term opportunities, though they remain immaterial to current earnings.</w:t>
      </w:r>
    </w:p>
    <w:p>
      <w:pPr>
        <w:pStyle w:val="BodyText"/>
      </w:pPr>
      <w:r>
        <w:t xml:space="preserve">International commentary will be most useful as an indicator of development optionality rather than a near-term earnings driver.</w:t>
      </w:r>
    </w:p>
    <w:bookmarkEnd w:id="20"/>
    <w:bookmarkEnd w:id="21"/>
    <w:bookmarkStart w:id="25" w:name="potential-stock-reaction-framework"/>
    <w:p>
      <w:pPr>
        <w:pStyle w:val="Heading2"/>
      </w:pPr>
      <w:r>
        <w:t xml:space="preserve">Potential stock-reaction framework</w:t>
      </w:r>
    </w:p>
    <w:bookmarkStart w:id="22" w:name="bull-case"/>
    <w:p>
      <w:pPr>
        <w:pStyle w:val="Heading3"/>
      </w:pPr>
      <w:r>
        <w:t xml:space="preserve">Bull case</w:t>
      </w:r>
    </w:p>
    <w:p>
      <w:pPr>
        <w:pStyle w:val="Compact"/>
        <w:numPr>
          <w:ilvl w:val="0"/>
          <w:numId w:val="1012"/>
        </w:numPr>
      </w:pPr>
      <w:r>
        <w:t xml:space="preserve">Comparable sales above 2%</w:t>
      </w:r>
    </w:p>
    <w:p>
      <w:pPr>
        <w:pStyle w:val="Compact"/>
        <w:numPr>
          <w:ilvl w:val="0"/>
          <w:numId w:val="1012"/>
        </w:numPr>
      </w:pPr>
      <w:r>
        <w:t xml:space="preserve">Clearly positive transactions</w:t>
      </w:r>
    </w:p>
    <w:p>
      <w:pPr>
        <w:pStyle w:val="Compact"/>
        <w:numPr>
          <w:ilvl w:val="0"/>
          <w:numId w:val="1012"/>
        </w:numPr>
      </w:pPr>
      <w:r>
        <w:t xml:space="preserve">Restaurant margin at or above 25%</w:t>
      </w:r>
    </w:p>
    <w:p>
      <w:pPr>
        <w:pStyle w:val="Compact"/>
        <w:numPr>
          <w:ilvl w:val="0"/>
          <w:numId w:val="1012"/>
        </w:numPr>
      </w:pPr>
      <w:r>
        <w:t xml:space="preserve">Strong July acceleration</w:t>
      </w:r>
    </w:p>
    <w:p>
      <w:pPr>
        <w:pStyle w:val="Compact"/>
        <w:numPr>
          <w:ilvl w:val="0"/>
          <w:numId w:val="1012"/>
        </w:numPr>
      </w:pPr>
      <w:r>
        <w:t xml:space="preserve">Full-year comp outlook raised or described as meaningfully conservative</w:t>
      </w:r>
    </w:p>
    <w:p>
      <w:pPr>
        <w:pStyle w:val="Compact"/>
        <w:numPr>
          <w:ilvl w:val="0"/>
          <w:numId w:val="1012"/>
        </w:numPr>
      </w:pPr>
      <w:r>
        <w:t xml:space="preserve">Equipment and rewards initiatives show measurable, sustained benefits</w:t>
      </w:r>
    </w:p>
    <w:p>
      <w:pPr>
        <w:pStyle w:val="FirstParagraph"/>
      </w:pPr>
      <w:r>
        <w:t xml:space="preserve">This combination would suggest Chipotle is returning to transaction-led growth while margin pressure approaches a peak.</w:t>
      </w:r>
    </w:p>
    <w:bookmarkEnd w:id="22"/>
    <w:bookmarkStart w:id="23" w:name="base-case"/>
    <w:p>
      <w:pPr>
        <w:pStyle w:val="Heading3"/>
      </w:pPr>
      <w:r>
        <w:t xml:space="preserve">Base case</w:t>
      </w:r>
    </w:p>
    <w:p>
      <w:pPr>
        <w:pStyle w:val="Compact"/>
        <w:numPr>
          <w:ilvl w:val="0"/>
          <w:numId w:val="1013"/>
        </w:numPr>
      </w:pPr>
      <w:r>
        <w:t xml:space="preserve">Comparable sales around 1%–1.5%</w:t>
      </w:r>
    </w:p>
    <w:p>
      <w:pPr>
        <w:pStyle w:val="Compact"/>
        <w:numPr>
          <w:ilvl w:val="0"/>
          <w:numId w:val="1013"/>
        </w:numPr>
      </w:pPr>
      <w:r>
        <w:t xml:space="preserve">Traffic approximately flat</w:t>
      </w:r>
    </w:p>
    <w:p>
      <w:pPr>
        <w:pStyle w:val="Compact"/>
        <w:numPr>
          <w:ilvl w:val="0"/>
          <w:numId w:val="1013"/>
        </w:numPr>
      </w:pPr>
      <w:r>
        <w:t xml:space="preserve">Restaurant margin near 25%</w:t>
      </w:r>
    </w:p>
    <w:p>
      <w:pPr>
        <w:pStyle w:val="Compact"/>
        <w:numPr>
          <w:ilvl w:val="0"/>
          <w:numId w:val="1013"/>
        </w:numPr>
      </w:pPr>
      <w:r>
        <w:t xml:space="preserve">July trends stable</w:t>
      </w:r>
    </w:p>
    <w:p>
      <w:pPr>
        <w:pStyle w:val="Compact"/>
        <w:numPr>
          <w:ilvl w:val="0"/>
          <w:numId w:val="1013"/>
        </w:numPr>
      </w:pPr>
      <w:r>
        <w:t xml:space="preserve">Full-year guidance maintained</w:t>
      </w:r>
    </w:p>
    <w:p>
      <w:pPr>
        <w:pStyle w:val="Compact"/>
        <w:numPr>
          <w:ilvl w:val="0"/>
          <w:numId w:val="1013"/>
        </w:numPr>
      </w:pPr>
      <w:r>
        <w:t xml:space="preserve">Management reiterates second-half cost improvement</w:t>
      </w:r>
    </w:p>
    <w:p>
      <w:pPr>
        <w:pStyle w:val="FirstParagraph"/>
      </w:pPr>
      <w:r>
        <w:t xml:space="preserve">This would confirm stabilization but may not be enough for a major re-rating without clearer traffic acceleration.</w:t>
      </w:r>
    </w:p>
    <w:bookmarkEnd w:id="23"/>
    <w:bookmarkStart w:id="24" w:name="bear-case"/>
    <w:p>
      <w:pPr>
        <w:pStyle w:val="Heading3"/>
      </w:pPr>
      <w:r>
        <w:t xml:space="preserve">Bear case</w:t>
      </w:r>
    </w:p>
    <w:p>
      <w:pPr>
        <w:pStyle w:val="Compact"/>
        <w:numPr>
          <w:ilvl w:val="0"/>
          <w:numId w:val="1014"/>
        </w:numPr>
      </w:pPr>
      <w:r>
        <w:t xml:space="preserve">Comparable sales below 1% despite an easy comparison</w:t>
      </w:r>
    </w:p>
    <w:p>
      <w:pPr>
        <w:pStyle w:val="Compact"/>
        <w:numPr>
          <w:ilvl w:val="0"/>
          <w:numId w:val="1014"/>
        </w:numPr>
      </w:pPr>
      <w:r>
        <w:t xml:space="preserve">Negative transactions</w:t>
      </w:r>
    </w:p>
    <w:p>
      <w:pPr>
        <w:pStyle w:val="Compact"/>
        <w:numPr>
          <w:ilvl w:val="0"/>
          <w:numId w:val="1014"/>
        </w:numPr>
      </w:pPr>
      <w:r>
        <w:t xml:space="preserve">Restaurant margin below 25%</w:t>
      </w:r>
    </w:p>
    <w:p>
      <w:pPr>
        <w:pStyle w:val="Compact"/>
        <w:numPr>
          <w:ilvl w:val="0"/>
          <w:numId w:val="1014"/>
        </w:numPr>
      </w:pPr>
      <w:r>
        <w:t xml:space="preserve">Soft July trends</w:t>
      </w:r>
    </w:p>
    <w:p>
      <w:pPr>
        <w:pStyle w:val="Compact"/>
        <w:numPr>
          <w:ilvl w:val="0"/>
          <w:numId w:val="1014"/>
        </w:numPr>
      </w:pPr>
      <w:r>
        <w:t xml:space="preserve">Higher food-cost outlook</w:t>
      </w:r>
    </w:p>
    <w:p>
      <w:pPr>
        <w:pStyle w:val="Compact"/>
        <w:numPr>
          <w:ilvl w:val="0"/>
          <w:numId w:val="1014"/>
        </w:numPr>
      </w:pPr>
      <w:r>
        <w:t xml:space="preserve">Full-year guidance cut or maintained for operational rather than conservative reasons</w:t>
      </w:r>
    </w:p>
    <w:p>
      <w:pPr>
        <w:pStyle w:val="FirstParagraph"/>
      </w:pPr>
      <w:r>
        <w:t xml:space="preserve">That outcome would raise concerns that promotions and increased marketing are not generating adequate demand, while new-unit growth continues to dilute average restaurant volumes.</w:t>
      </w:r>
    </w:p>
    <w:bookmarkEnd w:id="24"/>
    <w:bookmarkEnd w:id="25"/>
    <w:bookmarkStart w:id="26" w:name="bottom-line"/>
    <w:p>
      <w:pPr>
        <w:pStyle w:val="Heading2"/>
      </w:pPr>
      <w:r>
        <w:t xml:space="preserve">Bottom line</w:t>
      </w:r>
    </w:p>
    <w:p>
      <w:pPr>
        <w:pStyle w:val="FirstParagraph"/>
      </w:pPr>
      <w:r>
        <w:t xml:space="preserve">The key debate is whether Chipotle has reached a genuine traffic inflection or is experiencing only a temporary lift from easier comparisons and a heavier promotional calendar.</w:t>
      </w:r>
    </w:p>
    <w:p>
      <w:pPr>
        <w:pStyle w:val="BodyText"/>
      </w:pPr>
      <w:r>
        <w:t xml:space="preserve">The reported EPS number is unlikely to settle that debate. Investors should prioritize</w:t>
      </w:r>
      <w:r>
        <w:t xml:space="preserve"> </w:t>
      </w:r>
      <w:r>
        <w:rPr>
          <w:b/>
          <w:bCs/>
        </w:rPr>
        <w:t xml:space="preserve">transaction growth, Q3-to-date trends and management’s full-year comp language</w:t>
      </w:r>
      <w:r>
        <w:t xml:space="preserve">. A credible path to sustained positive traffic would make current margin compression more tolerable, particularly if food inflation eases during the second half. Without that traffic improvement, Chipotle risks remaining a strong unit-growth company with weakening existing-store economics.</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2026-07-29T01:18:36Z</dcterms:created>
  <dcterms:modified xsi:type="dcterms:W3CDTF">2026-07-29T01:18:36Z</dcterms:modified>
</cp:coreProperties>
</file>

<file path=docProps/custom.xml><?xml version="1.0" encoding="utf-8"?>
<Properties xmlns="http://schemas.openxmlformats.org/officeDocument/2006/custom-properties" xmlns:vt="http://schemas.openxmlformats.org/officeDocument/2006/docPropsVTypes"/>
</file>