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20883d45c8ace67b273dfc3b306a0c56f8a082c"/>
    <w:p>
      <w:pPr>
        <w:pStyle w:val="Heading1"/>
      </w:pPr>
      <w:r>
        <w:t xml:space="preserve">Chipotle Mexican Grill (NYSE: CMG) — 2Q26 Earnings Preview</w:t>
      </w:r>
    </w:p>
    <w:p>
      <w:pPr>
        <w:pStyle w:val="BlockText"/>
      </w:pPr>
      <w:r>
        <w:rPr>
          <w:b/>
          <w:bCs/>
        </w:rPr>
        <w:t xml:space="preserve">Timing correction:</w:t>
      </w:r>
      <w:r>
        <w:t xml:space="preserve"> </w:t>
      </w:r>
      <w:r>
        <w:t xml:space="preserve">As of</w:t>
      </w:r>
      <w:r>
        <w:t xml:space="preserve"> </w:t>
      </w:r>
      <w:r>
        <w:rPr>
          <w:b/>
          <w:bCs/>
        </w:rPr>
        <w:t xml:space="preserve">Wednesday, July 29, 2026</w:t>
      </w:r>
      <w:r>
        <w:t xml:space="preserve">, Chipotle is scheduled to report</w:t>
      </w:r>
      <w:r>
        <w:t xml:space="preserve"> </w:t>
      </w:r>
      <w:r>
        <w:rPr>
          <w:b/>
          <w:bCs/>
        </w:rPr>
        <w:t xml:space="preserve">2Q26 results after the U.S. market close today</w:t>
      </w:r>
      <w:r>
        <w:t xml:space="preserve">, followed by its earnings call. The event is therefore</w:t>
      </w:r>
      <w:r>
        <w:t xml:space="preserve"> </w:t>
      </w:r>
      <w:r>
        <w:rPr>
          <w:b/>
          <w:bCs/>
        </w:rPr>
        <w:t xml:space="preserve">not tomorrow</w:t>
      </w:r>
      <w:r>
        <w:t xml:space="preserve">.</w:t>
      </w:r>
    </w:p>
    <w:bookmarkStart w:id="9" w:name="Xde12dd18a5a320e8745b6a01ebc5fb479498e43"/>
    <w:p>
      <w:pPr>
        <w:pStyle w:val="Heading2"/>
      </w:pPr>
      <w:r>
        <w:t xml:space="preserve">Investment view: the quarter is about proving that the traffic recovery is durable</w:t>
      </w:r>
    </w:p>
    <w:p>
      <w:pPr>
        <w:pStyle w:val="FirstParagraph"/>
      </w:pPr>
      <w:r>
        <w:t xml:space="preserve">CMG enters 2Q26 with a more constructive sales setup than it had a year ago, but with margins still under meaningful pressure. The central question is not whether Chipotle can meet a modest earnings bar; it is whether its</w:t>
      </w:r>
      <w:r>
        <w:t xml:space="preserve"> </w:t>
      </w:r>
      <w:r>
        <w:rPr>
          <w:b/>
          <w:bCs/>
        </w:rPr>
        <w:t xml:space="preserve">Recipe for Growth</w:t>
      </w:r>
      <w:r>
        <w:t xml:space="preserve"> </w:t>
      </w:r>
      <w:r>
        <w:t xml:space="preserve">initiatives—more frequent menu innovation, a refreshed Rewards program, better in-store hospitality and throughput, and targeted value messaging—are producing a sustainable return to transaction growth.</w:t>
      </w:r>
    </w:p>
    <w:p>
      <w:pPr>
        <w:pStyle w:val="BodyText"/>
      </w:pPr>
      <w:r>
        <w:t xml:space="preserve">Consensus calls for approximately</w:t>
      </w:r>
      <w:r>
        <w:t xml:space="preserve"> </w:t>
      </w:r>
      <w:r>
        <w:rPr>
          <w:b/>
          <w:bCs/>
        </w:rPr>
        <w:t xml:space="preserve">1.3% comparable-sales growth</w:t>
      </w:r>
      <w:r>
        <w:t xml:space="preserve">, roughly</w:t>
      </w:r>
      <w:r>
        <w:t xml:space="preserve"> </w:t>
      </w:r>
      <w:r>
        <w:rPr>
          <w:b/>
          <w:bCs/>
        </w:rPr>
        <w:t xml:space="preserve">$0.32 of EPS</w:t>
      </w:r>
      <w:r>
        <w:t xml:space="preserve"> </w:t>
      </w:r>
      <w:r>
        <w:t xml:space="preserve">(down about 3.5% year over year), and restaurant-level margin pressure of about</w:t>
      </w:r>
      <w:r>
        <w:t xml:space="preserve"> </w:t>
      </w:r>
      <w:r>
        <w:rPr>
          <w:b/>
          <w:bCs/>
        </w:rPr>
        <w:t xml:space="preserve">240 basis points</w:t>
      </w:r>
      <w:r>
        <w:t xml:space="preserve"> </w:t>
      </w:r>
      <w:r>
        <w:t xml:space="preserve">year over year. That comp expectation is only modestly above management’s April outlook for Q2 comps of roughly</w:t>
      </w:r>
      <w:r>
        <w:t xml:space="preserve"> </w:t>
      </w:r>
      <w:r>
        <w:rPr>
          <w:b/>
          <w:bCs/>
        </w:rPr>
        <w:t xml:space="preserve">+1%</w:t>
      </w:r>
      <w:r>
        <w:t xml:space="preserve">, so the setup appears more dependent on the</w:t>
      </w:r>
      <w:r>
        <w:t xml:space="preserve"> </w:t>
      </w:r>
      <w:r>
        <w:rPr>
          <w:i/>
          <w:iCs/>
        </w:rPr>
        <w:t xml:space="preserve">quality of the beat and forward commentary</w:t>
      </w:r>
      <w:r>
        <w:t xml:space="preserve"> </w:t>
      </w:r>
      <w:r>
        <w:t xml:space="preserve">than on headline results alone.</w:t>
      </w:r>
    </w:p>
    <w:bookmarkEnd w:id="9"/>
    <w:bookmarkStart w:id="10" w:name="the-key-numbers"/>
    <w:p>
      <w:pPr>
        <w:pStyle w:val="Heading2"/>
      </w:pPr>
      <w:r>
        <w:t xml:space="preserve">The key numbers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setup</w:t>
            </w:r>
          </w:p>
        </w:tc>
        <w:tc>
          <w:tcPr/>
          <w:p>
            <w:pPr>
              <w:pStyle w:val="Compact"/>
            </w:pPr>
            <w:r>
              <w:t xml:space="preserve">Why it matters</w:t>
            </w:r>
          </w:p>
        </w:tc>
      </w:tr>
      <w:tr>
        <w:tc>
          <w:tcPr/>
          <w:p>
            <w:pPr>
              <w:pStyle w:val="Compact"/>
            </w:pPr>
            <w:r>
              <w:t xml:space="preserve">Comparable sales</w:t>
            </w:r>
          </w:p>
        </w:tc>
        <w:tc>
          <w:tcPr/>
          <w:p>
            <w:pPr>
              <w:pStyle w:val="Compact"/>
              <w:jc w:val="right"/>
            </w:pPr>
            <w:r>
              <w:t xml:space="preserve">Consensus:</w:t>
            </w:r>
            <w:r>
              <w:t xml:space="preserve"> </w:t>
            </w:r>
            <w:r>
              <w:rPr>
                <w:b/>
                <w:bCs/>
              </w:rPr>
              <w:t xml:space="preserve">+1.3%</w:t>
            </w:r>
          </w:p>
        </w:tc>
        <w:tc>
          <w:tcPr/>
          <w:p>
            <w:pPr>
              <w:pStyle w:val="Compact"/>
            </w:pPr>
            <w:r>
              <w:t xml:space="preserve">The key demand indicator; investors will focus especially on transactions versus price/mix.</w:t>
            </w:r>
          </w:p>
        </w:tc>
      </w:tr>
      <w:tr>
        <w:tc>
          <w:tcPr/>
          <w:p>
            <w:pPr>
              <w:pStyle w:val="Compact"/>
            </w:pPr>
            <w:r>
              <w:t xml:space="preserve">EPS</w:t>
            </w:r>
          </w:p>
        </w:tc>
        <w:tc>
          <w:tcPr/>
          <w:p>
            <w:pPr>
              <w:pStyle w:val="Compact"/>
              <w:jc w:val="right"/>
            </w:pPr>
            <w:r>
              <w:t xml:space="preserve">Consensus:</w:t>
            </w:r>
            <w:r>
              <w:t xml:space="preserve"> </w:t>
            </w:r>
            <w:r>
              <w:rPr>
                <w:b/>
                <w:bCs/>
              </w:rPr>
              <w:t xml:space="preserve">$0.32</w:t>
            </w:r>
          </w:p>
        </w:tc>
        <w:tc>
          <w:tcPr/>
          <w:p>
            <w:pPr>
              <w:pStyle w:val="Compact"/>
            </w:pPr>
            <w:r>
              <w:t xml:space="preserve">Roughly flat with 2Q25’s reported $0.32, despite more units and buybacks—illustrating the margin challenge.</w:t>
            </w:r>
          </w:p>
        </w:tc>
      </w:tr>
      <w:tr>
        <w:tc>
          <w:tcPr/>
          <w:p>
            <w:pPr>
              <w:pStyle w:val="Compact"/>
            </w:pPr>
            <w:r>
              <w:t xml:space="preserve">Restaurant-level margin</w:t>
            </w:r>
          </w:p>
        </w:tc>
        <w:tc>
          <w:tcPr/>
          <w:p>
            <w:pPr>
              <w:pStyle w:val="Compact"/>
              <w:jc w:val="right"/>
            </w:pPr>
            <w:r>
              <w:t xml:space="preserve">Consensus: down ~</w:t>
            </w:r>
            <w:r>
              <w:rPr>
                <w:b/>
                <w:bCs/>
              </w:rPr>
              <w:t xml:space="preserve">240 bps YoY</w:t>
            </w:r>
          </w:p>
        </w:tc>
        <w:tc>
          <w:tcPr/>
          <w:p>
            <w:pPr>
              <w:pStyle w:val="Compact"/>
            </w:pPr>
            <w:r>
              <w:t xml:space="preserve">Implies a level near</w:t>
            </w:r>
            <w:r>
              <w:t xml:space="preserve"> </w:t>
            </w:r>
            <w:r>
              <w:rPr>
                <w:b/>
                <w:bCs/>
              </w:rPr>
              <w:t xml:space="preserve">25%</w:t>
            </w:r>
            <w:r>
              <w:t xml:space="preserve">, versus</w:t>
            </w:r>
            <w:r>
              <w:t xml:space="preserve"> </w:t>
            </w:r>
            <w:r>
              <w:rPr>
                <w:b/>
                <w:bCs/>
              </w:rPr>
              <w:t xml:space="preserve">27.4%</w:t>
            </w:r>
            <w:r>
              <w:t xml:space="preserve"> </w:t>
            </w:r>
            <w:r>
              <w:t xml:space="preserve">in 2Q25.</w:t>
            </w:r>
          </w:p>
        </w:tc>
      </w:tr>
      <w:tr>
        <w:tc>
          <w:tcPr/>
          <w:p>
            <w:pPr>
              <w:pStyle w:val="Compact"/>
            </w:pPr>
            <w:r>
              <w:t xml:space="preserve">Pricing</w:t>
            </w:r>
          </w:p>
        </w:tc>
        <w:tc>
          <w:tcPr/>
          <w:p>
            <w:pPr>
              <w:pStyle w:val="Compact"/>
              <w:jc w:val="right"/>
            </w:pPr>
            <w:r>
              <w:t xml:space="preserve">Management previously indicated ~</w:t>
            </w:r>
            <w:r>
              <w:rPr>
                <w:b/>
                <w:bCs/>
              </w:rPr>
              <w:t xml:space="preserve">1.5%</w:t>
            </w:r>
            <w:r>
              <w:t xml:space="preserve"> </w:t>
            </w:r>
            <w:r>
              <w:t xml:space="preserve">for 2Q</w:t>
            </w:r>
          </w:p>
        </w:tc>
        <w:tc>
          <w:tcPr/>
          <w:p>
            <w:pPr>
              <w:pStyle w:val="Compact"/>
            </w:pPr>
            <w:r>
              <w:t xml:space="preserve">Limited pricing means traffic and mix must do more of the work.</w:t>
            </w:r>
          </w:p>
        </w:tc>
      </w:tr>
      <w:tr>
        <w:tc>
          <w:tcPr/>
          <w:p>
            <w:pPr>
              <w:pStyle w:val="Compact"/>
            </w:pPr>
            <w:r>
              <w:t xml:space="preserve">Cost of sales</w:t>
            </w:r>
          </w:p>
        </w:tc>
        <w:tc>
          <w:tcPr/>
          <w:p>
            <w:pPr>
              <w:pStyle w:val="Compact"/>
              <w:jc w:val="right"/>
            </w:pPr>
            <w:r>
              <w:t xml:space="preserve">Management expected ~</w:t>
            </w:r>
            <w:r>
              <w:rPr>
                <w:b/>
                <w:bCs/>
              </w:rPr>
              <w:t xml:space="preserve">30% of sales</w:t>
            </w:r>
          </w:p>
        </w:tc>
        <w:tc>
          <w:tcPr/>
          <w:p>
            <w:pPr>
              <w:pStyle w:val="Compact"/>
            </w:pPr>
            <w:r>
              <w:t xml:space="preserve">Avocado, dairy and beef inflation are expected to more than offset favorable mix and modest price.</w:t>
            </w:r>
          </w:p>
        </w:tc>
      </w:tr>
      <w:tr>
        <w:tc>
          <w:tcPr/>
          <w:p>
            <w:pPr>
              <w:pStyle w:val="Compact"/>
            </w:pPr>
            <w:r>
              <w:t xml:space="preserve">Labor</w:t>
            </w:r>
          </w:p>
        </w:tc>
        <w:tc>
          <w:tcPr/>
          <w:p>
            <w:pPr>
              <w:pStyle w:val="Compact"/>
              <w:jc w:val="right"/>
            </w:pPr>
            <w:r>
              <w:t xml:space="preserve">Management expected the</w:t>
            </w:r>
            <w:r>
              <w:t xml:space="preserve"> </w:t>
            </w:r>
            <w:r>
              <w:rPr>
                <w:b/>
                <w:bCs/>
              </w:rPr>
              <w:t xml:space="preserve">low-25%</w:t>
            </w:r>
            <w:r>
              <w:t xml:space="preserve"> </w:t>
            </w:r>
            <w:r>
              <w:t xml:space="preserve">range</w:t>
            </w:r>
          </w:p>
        </w:tc>
        <w:tc>
          <w:tcPr/>
          <w:p>
            <w:pPr>
              <w:pStyle w:val="Compact"/>
            </w:pPr>
            <w:r>
              <w:t xml:space="preserve">Wage inflation and sales-volume deleverage remain important.</w:t>
            </w:r>
          </w:p>
        </w:tc>
      </w:tr>
      <w:tr>
        <w:tc>
          <w:tcPr/>
          <w:p>
            <w:pPr>
              <w:pStyle w:val="Compact"/>
            </w:pPr>
            <w:r>
              <w:t xml:space="preserve">New units</w:t>
            </w:r>
          </w:p>
        </w:tc>
        <w:tc>
          <w:tcPr/>
          <w:p>
            <w:pPr>
              <w:pStyle w:val="Compact"/>
              <w:jc w:val="right"/>
            </w:pPr>
            <w:r>
              <w:t xml:space="preserve">FY26 guide:</w:t>
            </w:r>
            <w:r>
              <w:t xml:space="preserve"> </w:t>
            </w:r>
            <w:r>
              <w:rPr>
                <w:b/>
                <w:bCs/>
              </w:rPr>
              <w:t xml:space="preserve">350–370</w:t>
            </w:r>
            <w:r>
              <w:t xml:space="preserve"> </w:t>
            </w:r>
            <w:r>
              <w:t xml:space="preserve">openings</w:t>
            </w:r>
          </w:p>
        </w:tc>
        <w:tc>
          <w:tcPr/>
          <w:p>
            <w:pPr>
              <w:pStyle w:val="Compact"/>
            </w:pPr>
            <w:r>
              <w:t xml:space="preserve">2Q openings and new-unit productivity are important proof points for the long-term unit-growth case.</w:t>
            </w:r>
          </w:p>
        </w:tc>
      </w:tr>
    </w:tbl>
    <w:bookmarkEnd w:id="10"/>
    <w:bookmarkStart w:id="11" w:name="why-the-sales-setup-has-improved"/>
    <w:p>
      <w:pPr>
        <w:pStyle w:val="Heading2"/>
      </w:pPr>
      <w:r>
        <w:t xml:space="preserve">Why the sales setup has improved</w:t>
      </w:r>
    </w:p>
    <w:p>
      <w:pPr>
        <w:pStyle w:val="FirstParagraph"/>
      </w:pPr>
      <w:r>
        <w:t xml:space="preserve">In 1Q26, CMG returned to positive traffic: comparable sales rose</w:t>
      </w:r>
      <w:r>
        <w:t xml:space="preserve"> </w:t>
      </w:r>
      <w:r>
        <w:rPr>
          <w:b/>
          <w:bCs/>
        </w:rPr>
        <w:t xml:space="preserve">0.5%</w:t>
      </w:r>
      <w:r>
        <w:t xml:space="preserve">, including</w:t>
      </w:r>
      <w:r>
        <w:t xml:space="preserve"> </w:t>
      </w:r>
      <w:r>
        <w:rPr>
          <w:b/>
          <w:bCs/>
        </w:rPr>
        <w:t xml:space="preserve">0.6% transaction growth</w:t>
      </w:r>
      <w:r>
        <w:t xml:space="preserve">, while average check fell slightly. Management said April trends improved further, aided by Cilantro-Lime Sauce, the Rewards refresh, and the timing of Easter. It subsequently guided to around</w:t>
      </w:r>
      <w:r>
        <w:t xml:space="preserve"> </w:t>
      </w:r>
      <w:r>
        <w:rPr>
          <w:b/>
          <w:bCs/>
        </w:rPr>
        <w:t xml:space="preserve">+1%</w:t>
      </w:r>
      <w:r>
        <w:t xml:space="preserve"> </w:t>
      </w:r>
      <w:r>
        <w:t xml:space="preserve">comparable sales for 2Q.</w:t>
      </w:r>
    </w:p>
    <w:p>
      <w:pPr>
        <w:pStyle w:val="BodyText"/>
      </w:pPr>
      <w:r>
        <w:t xml:space="preserve">The relevant demand drivers heading into the print are:</w:t>
      </w:r>
    </w:p>
    <w:p>
      <w:pPr>
        <w:pStyle w:val="Compact"/>
        <w:numPr>
          <w:ilvl w:val="0"/>
          <w:numId w:val="1001"/>
        </w:numPr>
      </w:pPr>
      <w:r>
        <w:rPr>
          <w:b/>
          <w:bCs/>
        </w:rPr>
        <w:t xml:space="preserve">Menu innovation:</w:t>
      </w:r>
      <w:r>
        <w:t xml:space="preserve"> </w:t>
      </w:r>
      <w:r>
        <w:t xml:space="preserve">Chicken Al Pastor, Cilantro-Lime Sauce, and then Chipotle Honey Chicken launched late in April. Management has said protein LTOs can deliver several hundred basis points of transaction lift during their promotional windows, while sauces can support both mix and frequency.</w:t>
      </w:r>
    </w:p>
    <w:p>
      <w:pPr>
        <w:pStyle w:val="Compact"/>
        <w:numPr>
          <w:ilvl w:val="0"/>
          <w:numId w:val="1001"/>
        </w:numPr>
      </w:pPr>
      <w:r>
        <w:rPr>
          <w:b/>
          <w:bCs/>
        </w:rPr>
        <w:t xml:space="preserve">Rewards refresh:</w:t>
      </w:r>
      <w:r>
        <w:t xml:space="preserve"> </w:t>
      </w:r>
      <w:r>
        <w:t xml:space="preserve">The company reported a roughly</w:t>
      </w:r>
      <w:r>
        <w:t xml:space="preserve"> </w:t>
      </w:r>
      <w:r>
        <w:rPr>
          <w:b/>
          <w:bCs/>
        </w:rPr>
        <w:t xml:space="preserve">25% increase in daily enrollments</w:t>
      </w:r>
      <w:r>
        <w:t xml:space="preserve"> </w:t>
      </w:r>
      <w:r>
        <w:t xml:space="preserve">after the revamped program launched. The strategic prize is converting more in-restaurant guests: only about 20% of in-store transactions were Rewards-linked, compared with roughly 90% of app transactions.</w:t>
      </w:r>
    </w:p>
    <w:p>
      <w:pPr>
        <w:pStyle w:val="Compact"/>
        <w:numPr>
          <w:ilvl w:val="0"/>
          <w:numId w:val="1001"/>
        </w:numPr>
      </w:pPr>
      <w:r>
        <w:rPr>
          <w:b/>
          <w:bCs/>
        </w:rPr>
        <w:t xml:space="preserve">Value and marketing:</w:t>
      </w:r>
      <w:r>
        <w:t xml:space="preserve"> </w:t>
      </w:r>
      <w:r>
        <w:t xml:space="preserve">CMG is intentionally pricing below industry inflation and describes itself as priced at a 20%–30% discount to fast-casual peers. The trade-off is clear: preserving guest value may support traffic but delays margin recovery.</w:t>
      </w:r>
    </w:p>
    <w:p>
      <w:pPr>
        <w:pStyle w:val="Compact"/>
        <w:numPr>
          <w:ilvl w:val="0"/>
          <w:numId w:val="1001"/>
        </w:numPr>
      </w:pPr>
      <w:r>
        <w:rPr>
          <w:b/>
          <w:bCs/>
        </w:rPr>
        <w:t xml:space="preserve">Operations:</w:t>
      </w:r>
      <w:r>
        <w:t xml:space="preserve"> </w:t>
      </w:r>
      <w:r>
        <w:t xml:space="preserve">The high-efficiency equipment package was in more than 600 restaurants at the end of 1Q, with a target of 2,000 by year-end. Management has cited 200–400 basis points of comp outperformance in equipped stores after ramping, although this remains early and its systemwide impact will build over time.</w:t>
      </w:r>
    </w:p>
    <w:bookmarkEnd w:id="11"/>
    <w:bookmarkStart w:id="12" w:name="X2ffdf589127ef9d127ed3101363a0133b7f4ab0"/>
    <w:p>
      <w:pPr>
        <w:pStyle w:val="Heading2"/>
      </w:pPr>
      <w:r>
        <w:t xml:space="preserve">The most important debate: traffic is recovering, but can margins bottom?</w:t>
      </w:r>
    </w:p>
    <w:p>
      <w:pPr>
        <w:pStyle w:val="FirstParagraph"/>
      </w:pPr>
      <w:r>
        <w:t xml:space="preserve">The 2Q25 comparison is favorable—comps were</w:t>
      </w:r>
      <w:r>
        <w:t xml:space="preserve"> </w:t>
      </w:r>
      <w:r>
        <w:rPr>
          <w:b/>
          <w:bCs/>
        </w:rPr>
        <w:t xml:space="preserve">-4.0%</w:t>
      </w:r>
      <w:r>
        <w:t xml:space="preserve"> </w:t>
      </w:r>
      <w:r>
        <w:t xml:space="preserve">last year, with transactions down</w:t>
      </w:r>
      <w:r>
        <w:t xml:space="preserve"> </w:t>
      </w:r>
      <w:r>
        <w:rPr>
          <w:b/>
          <w:bCs/>
        </w:rPr>
        <w:t xml:space="preserve">4.9%</w:t>
      </w:r>
      <w:r>
        <w:t xml:space="preserve">—so a low-single-digit comp gain would represent progress but not necessarily a full return to CMG’s historical demand algorithm.</w:t>
      </w:r>
    </w:p>
    <w:p>
      <w:pPr>
        <w:pStyle w:val="BodyText"/>
      </w:pPr>
      <w:r>
        <w:t xml:space="preserve">The bigger issue is whether recovery in traffic can overcome cost inflation and the company’s restrained pricing posture.</w:t>
      </w:r>
    </w:p>
    <w:p>
      <w:pPr>
        <w:pStyle w:val="BodyText"/>
      </w:pPr>
      <w:r>
        <w:t xml:space="preserve">Management’s prior 2Q cost framework pointed to:</w:t>
      </w:r>
    </w:p>
    <w:p>
      <w:pPr>
        <w:pStyle w:val="Compact"/>
        <w:numPr>
          <w:ilvl w:val="0"/>
          <w:numId w:val="1002"/>
        </w:numPr>
      </w:pPr>
      <w:r>
        <w:rPr>
          <w:b/>
          <w:bCs/>
        </w:rPr>
        <w:t xml:space="preserve">Food, beverage and packaging costs of about 30% of sales</w:t>
      </w:r>
      <w:r>
        <w:t xml:space="preserve">, with mid-single-digit inflation led by avocado, dairy, and beef.</w:t>
      </w:r>
    </w:p>
    <w:p>
      <w:pPr>
        <w:pStyle w:val="Compact"/>
        <w:numPr>
          <w:ilvl w:val="0"/>
          <w:numId w:val="1002"/>
        </w:numPr>
      </w:pPr>
      <w:r>
        <w:rPr>
          <w:b/>
          <w:bCs/>
        </w:rPr>
        <w:t xml:space="preserve">Labor in the low-25% range</w:t>
      </w:r>
      <w:r>
        <w:t xml:space="preserve">, as wage inflation and sales-volume deleverage continue to weigh.</w:t>
      </w:r>
    </w:p>
    <w:p>
      <w:pPr>
        <w:pStyle w:val="Compact"/>
        <w:numPr>
          <w:ilvl w:val="0"/>
          <w:numId w:val="1002"/>
        </w:numPr>
      </w:pPr>
      <w:r>
        <w:rPr>
          <w:b/>
          <w:bCs/>
        </w:rPr>
        <w:t xml:space="preserve">Other operating expense in the high-14% range</w:t>
      </w:r>
      <w:r>
        <w:t xml:space="preserve">, including marketing investment.</w:t>
      </w:r>
    </w:p>
    <w:p>
      <w:pPr>
        <w:pStyle w:val="Compact"/>
        <w:numPr>
          <w:ilvl w:val="0"/>
          <w:numId w:val="1002"/>
        </w:numPr>
      </w:pPr>
      <w:r>
        <w:rPr>
          <w:b/>
          <w:bCs/>
        </w:rPr>
        <w:t xml:space="preserve">Non-GAAP G&amp;A of about $181 million.</w:t>
      </w:r>
    </w:p>
    <w:p>
      <w:pPr>
        <w:pStyle w:val="FirstParagraph"/>
      </w:pPr>
      <w:r>
        <w:t xml:space="preserve">This guidance points toward a clear conclusion: even if CMG delivers a modest comp beat,</w:t>
      </w:r>
      <w:r>
        <w:t xml:space="preserve"> </w:t>
      </w:r>
      <w:r>
        <w:rPr>
          <w:b/>
          <w:bCs/>
        </w:rPr>
        <w:t xml:space="preserve">margin commentary will determine whether investors view 2Q as a trough or merely another quarter of earnings deleverage</w:t>
      </w:r>
      <w:r>
        <w:t xml:space="preserve">.</w:t>
      </w:r>
    </w:p>
    <w:p>
      <w:pPr>
        <w:pStyle w:val="BodyText"/>
      </w:pPr>
      <w:r>
        <w:t xml:space="preserve">A favorable outcome would be evidence that food-cost pressure is tracking no worse than expected, labor leverage is beginning to return as transactions improve, and management still expects the price-versus-inflation gap to narrow in the second half. In April, management expected food inflation to ease to low-to-mid-single digits in the back half as the company laps elevated beef costs.</w:t>
      </w:r>
    </w:p>
    <w:bookmarkEnd w:id="12"/>
    <w:bookmarkStart w:id="18" w:name="X329b5b85c79fdc4a2b5049eccf1c2d66f1eec7a"/>
    <w:p>
      <w:pPr>
        <w:pStyle w:val="Heading2"/>
      </w:pPr>
      <w:r>
        <w:t xml:space="preserve">What investors should listen for on the call</w:t>
      </w:r>
    </w:p>
    <w:bookmarkStart w:id="13" w:name="X9604cd9051fb44bf5429e34283a11bb32201b36"/>
    <w:p>
      <w:pPr>
        <w:pStyle w:val="Heading3"/>
      </w:pPr>
      <w:r>
        <w:t xml:space="preserve">1. Q2 comp composition and July cadence</w:t>
      </w:r>
    </w:p>
    <w:p>
      <w:pPr>
        <w:pStyle w:val="FirstParagraph"/>
      </w:pPr>
      <w:r>
        <w:t xml:space="preserve">The headline comp is less important than its components:</w:t>
      </w:r>
    </w:p>
    <w:p>
      <w:pPr>
        <w:pStyle w:val="Compact"/>
        <w:numPr>
          <w:ilvl w:val="0"/>
          <w:numId w:val="1003"/>
        </w:numPr>
      </w:pPr>
      <w:r>
        <w:t xml:space="preserve">Are</w:t>
      </w:r>
      <w:r>
        <w:t xml:space="preserve"> </w:t>
      </w:r>
      <w:r>
        <w:rPr>
          <w:b/>
          <w:bCs/>
        </w:rPr>
        <w:t xml:space="preserve">transactions positive</w:t>
      </w:r>
      <w:r>
        <w:t xml:space="preserve">?</w:t>
      </w:r>
    </w:p>
    <w:p>
      <w:pPr>
        <w:pStyle w:val="Compact"/>
        <w:numPr>
          <w:ilvl w:val="0"/>
          <w:numId w:val="1003"/>
        </w:numPr>
      </w:pPr>
      <w:r>
        <w:t xml:space="preserve">Did Honey Chicken, sauces, and Rewards create incremental visits rather than simply shifting mix?</w:t>
      </w:r>
    </w:p>
    <w:p>
      <w:pPr>
        <w:pStyle w:val="Compact"/>
        <w:numPr>
          <w:ilvl w:val="0"/>
          <w:numId w:val="1003"/>
        </w:numPr>
      </w:pPr>
      <w:r>
        <w:t xml:space="preserve">Did trends build through the quarter, hold steady, or soften in July?</w:t>
      </w:r>
    </w:p>
    <w:p>
      <w:pPr>
        <w:pStyle w:val="Compact"/>
        <w:numPr>
          <w:ilvl w:val="0"/>
          <w:numId w:val="1003"/>
        </w:numPr>
      </w:pPr>
      <w:r>
        <w:t xml:space="preserve">Is the company comfortable maintaining—or raising—its full-year view for approximately flat comps?</w:t>
      </w:r>
    </w:p>
    <w:p>
      <w:pPr>
        <w:pStyle w:val="FirstParagraph"/>
      </w:pPr>
      <w:r>
        <w:t xml:space="preserve">Given the low bar, a result around consensus with confident July commentary could be enough to satisfy investors. Conversely, a modest beat accompanied by soft July demand would likely be viewed poorly.</w:t>
      </w:r>
    </w:p>
    <w:bookmarkEnd w:id="13"/>
    <w:bookmarkStart w:id="14" w:name="X9ba3a994af5fbd779d89184f29d785b56c93802"/>
    <w:p>
      <w:pPr>
        <w:pStyle w:val="Heading3"/>
      </w:pPr>
      <w:r>
        <w:t xml:space="preserve">2. The path for restaurant-level margin in 2H26</w:t>
      </w:r>
    </w:p>
    <w:p>
      <w:pPr>
        <w:pStyle w:val="FirstParagraph"/>
      </w:pPr>
      <w:r>
        <w:t xml:space="preserve">CMG’s restaurant-level margin was</w:t>
      </w:r>
      <w:r>
        <w:t xml:space="preserve"> </w:t>
      </w:r>
      <w:r>
        <w:rPr>
          <w:b/>
          <w:bCs/>
        </w:rPr>
        <w:t xml:space="preserve">23.7% adjusted</w:t>
      </w:r>
      <w:r>
        <w:t xml:space="preserve"> </w:t>
      </w:r>
      <w:r>
        <w:t xml:space="preserve">in 1Q26, down 250 basis points year over year. For 2Q, the year-ago comparison is 27.4%, so consensus already anticipates material compression.</w:t>
      </w:r>
    </w:p>
    <w:p>
      <w:pPr>
        <w:pStyle w:val="BodyText"/>
      </w:pPr>
      <w:r>
        <w:t xml:space="preserve">Investors will want clarity on:</w:t>
      </w:r>
    </w:p>
    <w:p>
      <w:pPr>
        <w:pStyle w:val="Compact"/>
        <w:numPr>
          <w:ilvl w:val="0"/>
          <w:numId w:val="1004"/>
        </w:numPr>
      </w:pPr>
      <w:r>
        <w:t xml:space="preserve">Actual versus expected beef, avocado, dairy, and freight costs;</w:t>
      </w:r>
    </w:p>
    <w:p>
      <w:pPr>
        <w:pStyle w:val="Compact"/>
        <w:numPr>
          <w:ilvl w:val="0"/>
          <w:numId w:val="1004"/>
        </w:numPr>
      </w:pPr>
      <w:r>
        <w:t xml:space="preserve">Whether price remains on track for the low end or high end of the company’s</w:t>
      </w:r>
      <w:r>
        <w:t xml:space="preserve"> </w:t>
      </w:r>
      <w:r>
        <w:rPr>
          <w:b/>
          <w:bCs/>
        </w:rPr>
        <w:t xml:space="preserve">1%–2%</w:t>
      </w:r>
      <w:r>
        <w:t xml:space="preserve"> </w:t>
      </w:r>
      <w:r>
        <w:t xml:space="preserve">full-year range;</w:t>
      </w:r>
    </w:p>
    <w:p>
      <w:pPr>
        <w:pStyle w:val="Compact"/>
        <w:numPr>
          <w:ilvl w:val="0"/>
          <w:numId w:val="1004"/>
        </w:numPr>
      </w:pPr>
      <w:r>
        <w:t xml:space="preserve">The degree to which higher transactions can flow through to labor and occupancy leverage;</w:t>
      </w:r>
    </w:p>
    <w:p>
      <w:pPr>
        <w:pStyle w:val="Compact"/>
        <w:numPr>
          <w:ilvl w:val="0"/>
          <w:numId w:val="1004"/>
        </w:numPr>
      </w:pPr>
      <w:r>
        <w:t xml:space="preserve">Whether marketing investment is earning an attractive incremental return.</w:t>
      </w:r>
    </w:p>
    <w:bookmarkEnd w:id="14"/>
    <w:bookmarkStart w:id="15" w:name="X21e4a6379a4dee35722c17b0c5912ce630bd06b"/>
    <w:p>
      <w:pPr>
        <w:pStyle w:val="Heading3"/>
      </w:pPr>
      <w:r>
        <w:t xml:space="preserve">3. Evidence that operational investments are working</w:t>
      </w:r>
    </w:p>
    <w:p>
      <w:pPr>
        <w:pStyle w:val="FirstParagraph"/>
      </w:pPr>
      <w:r>
        <w:t xml:space="preserve">The high-efficiency equipment package, digital makeline display, AI tools, and greater manager coverage at peak periods are designed to improve speed, accuracy, food quality, staffing, and ultimately transactions.</w:t>
      </w:r>
    </w:p>
    <w:p>
      <w:pPr>
        <w:pStyle w:val="BodyText"/>
      </w:pPr>
      <w:r>
        <w:t xml:space="preserve">Metrics or commentary to watch:</w:t>
      </w:r>
    </w:p>
    <w:p>
      <w:pPr>
        <w:pStyle w:val="Compact"/>
        <w:numPr>
          <w:ilvl w:val="0"/>
          <w:numId w:val="1005"/>
        </w:numPr>
      </w:pPr>
      <w:r>
        <w:t xml:space="preserve">Installed base and rollout pace for the equipment package;</w:t>
      </w:r>
    </w:p>
    <w:p>
      <w:pPr>
        <w:pStyle w:val="Compact"/>
        <w:numPr>
          <w:ilvl w:val="0"/>
          <w:numId w:val="1005"/>
        </w:numPr>
      </w:pPr>
      <w:r>
        <w:t xml:space="preserve">Throughput, guest-satisfaction, or digital-order-accuracy trends;</w:t>
      </w:r>
    </w:p>
    <w:p>
      <w:pPr>
        <w:pStyle w:val="Compact"/>
        <w:numPr>
          <w:ilvl w:val="0"/>
          <w:numId w:val="1005"/>
        </w:numPr>
      </w:pPr>
      <w:r>
        <w:t xml:space="preserve">Whether stronger store execution is visible beyond the initial test markets;</w:t>
      </w:r>
    </w:p>
    <w:p>
      <w:pPr>
        <w:pStyle w:val="Compact"/>
        <w:numPr>
          <w:ilvl w:val="0"/>
          <w:numId w:val="1005"/>
        </w:numPr>
      </w:pPr>
      <w:r>
        <w:t xml:space="preserve">Any evidence of improved new-unit productivity.</w:t>
      </w:r>
    </w:p>
    <w:bookmarkEnd w:id="15"/>
    <w:bookmarkStart w:id="16" w:name="X29bcb41f9cd35deccdfa690451c74856385ff67"/>
    <w:p>
      <w:pPr>
        <w:pStyle w:val="Heading3"/>
      </w:pPr>
      <w:r>
        <w:t xml:space="preserve">4. Unit-development pace and international execution</w:t>
      </w:r>
    </w:p>
    <w:p>
      <w:pPr>
        <w:pStyle w:val="FirstParagraph"/>
      </w:pPr>
      <w:r>
        <w:t xml:space="preserve">CMG’s full-year target is</w:t>
      </w:r>
      <w:r>
        <w:t xml:space="preserve"> </w:t>
      </w:r>
      <w:r>
        <w:rPr>
          <w:b/>
          <w:bCs/>
        </w:rPr>
        <w:t xml:space="preserve">350–370 openings</w:t>
      </w:r>
      <w:r>
        <w:t xml:space="preserve">, with around 80% of company-owned openings including a Chipotlane. First-quarter openings were 49, meaning the company needs a substantial acceleration through the remainder of the year.</w:t>
      </w:r>
    </w:p>
    <w:p>
      <w:pPr>
        <w:pStyle w:val="BodyText"/>
      </w:pPr>
      <w:r>
        <w:t xml:space="preserve">The opening of the first Mexico location in July is strategically notable, but it is financially immaterial near term. More important is whether domestic openings remain on schedule, Chipotlanes maintain their expected sales and return advantages, and new restaurants continue opening at roughly 80% of mature-unit sales productivity.</w:t>
      </w:r>
    </w:p>
    <w:bookmarkEnd w:id="16"/>
    <w:bookmarkStart w:id="17" w:name="X0f1914217dca647230d4bd4814f72bca8aa9c4e"/>
    <w:p>
      <w:pPr>
        <w:pStyle w:val="Heading3"/>
      </w:pPr>
      <w:r>
        <w:t xml:space="preserve">5. Capital allocation</w:t>
      </w:r>
    </w:p>
    <w:p>
      <w:pPr>
        <w:pStyle w:val="FirstParagraph"/>
      </w:pPr>
      <w:r>
        <w:t xml:space="preserve">CMG ended 1Q with roughly</w:t>
      </w:r>
      <w:r>
        <w:t xml:space="preserve"> </w:t>
      </w:r>
      <m:oMath>
        <m:r>
          <m:t>1</m:t>
        </m:r>
        <m:r>
          <m:t>b</m:t>
        </m:r>
        <m:r>
          <m:t>i</m:t>
        </m:r>
        <m:r>
          <m:t>l</m:t>
        </m:r>
        <m:r>
          <m:t>l</m:t>
        </m:r>
        <m:r>
          <m:t>i</m:t>
        </m:r>
        <m:r>
          <m:t>o</m:t>
        </m:r>
        <m:r>
          <m:t>n</m:t>
        </m:r>
        <m:r>
          <m:rPr>
            <m:sty m:val="p"/>
          </m:rPr>
          <m:t>*</m:t>
        </m:r>
        <m:r>
          <m:rPr>
            <m:sty m:val="p"/>
          </m:rPr>
          <m:t>*</m:t>
        </m:r>
        <m:r>
          <m:t>o</m:t>
        </m:r>
        <m:r>
          <m:t>f</m:t>
        </m:r>
        <m:r>
          <m:t>c</m:t>
        </m:r>
        <m:r>
          <m:t>a</m:t>
        </m:r>
        <m:r>
          <m:t>s</m:t>
        </m:r>
        <m:r>
          <m:t>h</m:t>
        </m:r>
        <m:r>
          <m:rPr>
            <m:sty m:val="p"/>
          </m:rPr>
          <m:t>,</m:t>
        </m:r>
        <m:r>
          <m:t>r</m:t>
        </m:r>
        <m:r>
          <m:t>e</m:t>
        </m:r>
        <m:r>
          <m:t>s</m:t>
        </m:r>
        <m:r>
          <m:t>t</m:t>
        </m:r>
        <m:r>
          <m:t>r</m:t>
        </m:r>
        <m:r>
          <m:t>i</m:t>
        </m:r>
        <m:r>
          <m:t>c</m:t>
        </m:r>
        <m:r>
          <m:t>t</m:t>
        </m:r>
        <m:r>
          <m:t>e</m:t>
        </m:r>
        <m:r>
          <m:t>d</m:t>
        </m:r>
        <m:r>
          <m:t>c</m:t>
        </m:r>
        <m:r>
          <m:t>a</m:t>
        </m:r>
        <m:r>
          <m:t>s</m:t>
        </m:r>
        <m:r>
          <m:t>h</m:t>
        </m:r>
        <m:r>
          <m:rPr>
            <m:sty m:val="p"/>
          </m:rPr>
          <m:t>,</m:t>
        </m:r>
        <m:r>
          <m:t>a</m:t>
        </m:r>
        <m:r>
          <m:t>n</m:t>
        </m:r>
        <m:r>
          <m:t>d</m:t>
        </m:r>
        <m:r>
          <m:t>i</m:t>
        </m:r>
        <m:r>
          <m:t>n</m:t>
        </m:r>
        <m:r>
          <m:t>v</m:t>
        </m:r>
        <m:r>
          <m:t>e</m:t>
        </m:r>
        <m:r>
          <m:t>s</m:t>
        </m:r>
        <m:r>
          <m:t>t</m:t>
        </m:r>
        <m:r>
          <m:t>m</m:t>
        </m:r>
        <m:r>
          <m:t>e</m:t>
        </m:r>
        <m:r>
          <m:t>n</m:t>
        </m:r>
        <m:r>
          <m:t>t</m:t>
        </m:r>
        <m:r>
          <m:t>s</m:t>
        </m:r>
        <m:r>
          <m:rPr>
            <m:sty m:val="p"/>
          </m:rPr>
          <m:t>,</m:t>
        </m:r>
        <m:r>
          <m:t>n</m:t>
        </m:r>
        <m:r>
          <m:t>o</m:t>
        </m:r>
        <m:r>
          <m:t>d</m:t>
        </m:r>
        <m:r>
          <m:t>e</m:t>
        </m:r>
        <m:r>
          <m:t>b</m:t>
        </m:r>
        <m:r>
          <m:t>t</m:t>
        </m:r>
        <m:r>
          <m:rPr>
            <m:sty m:val="p"/>
          </m:rPr>
          <m:t>,</m:t>
        </m:r>
        <m:r>
          <m:t>a</m:t>
        </m:r>
        <m:r>
          <m:t>n</m:t>
        </m:r>
        <m:r>
          <m:t>d</m:t>
        </m:r>
        <m:r>
          <m:rPr>
            <m:sty m:val="p"/>
          </m:rPr>
          <m:t>*</m:t>
        </m:r>
        <m:r>
          <m:rPr>
            <m:sty m:val="p"/>
          </m:rPr>
          <m:t>*</m:t>
        </m:r>
      </m:oMath>
      <w:r>
        <w:rPr>
          <w:b/>
          <w:bCs/>
        </w:rPr>
        <w:t xml:space="preserve">1 billion</w:t>
      </w:r>
      <w:r>
        <w:t xml:space="preserve"> </w:t>
      </w:r>
      <w:r>
        <w:t xml:space="preserve">remaining on its repurchase authorization. It repurchased $701 million of shares in 1Q at an average price of $36.14. Continued buybacks can cushion EPS while operating margins reset, but they are not a substitute for transaction-led earnings growth.</w:t>
      </w:r>
    </w:p>
    <w:bookmarkEnd w:id="17"/>
    <w:bookmarkEnd w:id="18"/>
    <w:bookmarkStart w:id="19" w:name="bull-case-into-the-report"/>
    <w:p>
      <w:pPr>
        <w:pStyle w:val="Heading2"/>
      </w:pPr>
      <w:r>
        <w:t xml:space="preserve">Bull case into the report</w:t>
      </w:r>
    </w:p>
    <w:p>
      <w:pPr>
        <w:pStyle w:val="Compact"/>
        <w:numPr>
          <w:ilvl w:val="0"/>
          <w:numId w:val="1006"/>
        </w:numPr>
      </w:pPr>
      <w:r>
        <w:rPr>
          <w:b/>
          <w:bCs/>
        </w:rPr>
        <w:t xml:space="preserve">Comps exceed the low-single-digit bar</w:t>
      </w:r>
      <w:r>
        <w:t xml:space="preserve">, driven by transactions, not simply price.</w:t>
      </w:r>
    </w:p>
    <w:p>
      <w:pPr>
        <w:pStyle w:val="Compact"/>
        <w:numPr>
          <w:ilvl w:val="0"/>
          <w:numId w:val="1006"/>
        </w:numPr>
      </w:pPr>
      <w:r>
        <w:t xml:space="preserve">July trends remain healthy and management expresses more confidence in the back-half demand trajectory.</w:t>
      </w:r>
    </w:p>
    <w:p>
      <w:pPr>
        <w:pStyle w:val="Compact"/>
        <w:numPr>
          <w:ilvl w:val="0"/>
          <w:numId w:val="1006"/>
        </w:numPr>
      </w:pPr>
      <w:r>
        <w:t xml:space="preserve">Honey Chicken, Rewards, and operational improvements demonstrate repeatable demand-generation potential.</w:t>
      </w:r>
    </w:p>
    <w:p>
      <w:pPr>
        <w:pStyle w:val="Compact"/>
        <w:numPr>
          <w:ilvl w:val="0"/>
          <w:numId w:val="1006"/>
        </w:numPr>
      </w:pPr>
      <w:r>
        <w:t xml:space="preserve">Food inflation is manageable, allowing the company to frame 2Q margin pressure as the low point.</w:t>
      </w:r>
    </w:p>
    <w:p>
      <w:pPr>
        <w:pStyle w:val="Compact"/>
        <w:numPr>
          <w:ilvl w:val="0"/>
          <w:numId w:val="1006"/>
        </w:numPr>
      </w:pPr>
      <w:r>
        <w:t xml:space="preserve">Unit development stays on track, reinforcing the long-run path toward 7,000 restaurants.</w:t>
      </w:r>
    </w:p>
    <w:bookmarkEnd w:id="19"/>
    <w:bookmarkStart w:id="20" w:name="bear-case-into-the-report"/>
    <w:p>
      <w:pPr>
        <w:pStyle w:val="Heading2"/>
      </w:pPr>
      <w:r>
        <w:t xml:space="preserve">Bear case into the report</w:t>
      </w:r>
    </w:p>
    <w:p>
      <w:pPr>
        <w:pStyle w:val="Compact"/>
        <w:numPr>
          <w:ilvl w:val="0"/>
          <w:numId w:val="1007"/>
        </w:numPr>
      </w:pPr>
      <w:r>
        <w:t xml:space="preserve">Positive comps are largely price-driven, while traffic remains inconsistent.</w:t>
      </w:r>
    </w:p>
    <w:p>
      <w:pPr>
        <w:pStyle w:val="Compact"/>
        <w:numPr>
          <w:ilvl w:val="0"/>
          <w:numId w:val="1007"/>
        </w:numPr>
      </w:pPr>
      <w:r>
        <w:t xml:space="preserve">The company maintains its full-year “about flat” comp outlook despite easy comparisons and extensive promotional activity.</w:t>
      </w:r>
    </w:p>
    <w:p>
      <w:pPr>
        <w:pStyle w:val="Compact"/>
        <w:numPr>
          <w:ilvl w:val="0"/>
          <w:numId w:val="1007"/>
        </w:numPr>
      </w:pPr>
      <w:r>
        <w:t xml:space="preserve">Avocado, beef, dairy, wage, and marketing costs drive worse-than-expected margin pressure.</w:t>
      </w:r>
    </w:p>
    <w:p>
      <w:pPr>
        <w:pStyle w:val="Compact"/>
        <w:numPr>
          <w:ilvl w:val="0"/>
          <w:numId w:val="1007"/>
        </w:numPr>
      </w:pPr>
      <w:r>
        <w:t xml:space="preserve">More investment in value and promotions is needed to maintain traffic, challenging the long-term margin narrative.</w:t>
      </w:r>
    </w:p>
    <w:p>
      <w:pPr>
        <w:pStyle w:val="Compact"/>
        <w:numPr>
          <w:ilvl w:val="0"/>
          <w:numId w:val="1007"/>
        </w:numPr>
      </w:pPr>
      <w:r>
        <w:t xml:space="preserve">Unit growth or new-unit volumes disappoint, raising questions about incremental returns as the footprint expands.</w:t>
      </w:r>
    </w:p>
    <w:bookmarkEnd w:id="20"/>
    <w:bookmarkStart w:id="21" w:name="stock-setup"/>
    <w:p>
      <w:pPr>
        <w:pStyle w:val="Heading2"/>
      </w:pPr>
      <w:r>
        <w:t xml:space="preserve">Stock setup</w:t>
      </w:r>
    </w:p>
    <w:p>
      <w:pPr>
        <w:pStyle w:val="FirstParagraph"/>
      </w:pPr>
      <w:r>
        <w:t xml:space="preserve">CMG closed at</w:t>
      </w:r>
      <w:r>
        <w:t xml:space="preserve"> </w:t>
      </w:r>
      <w:r>
        <w:rPr>
          <w:b/>
          <w:bCs/>
        </w:rPr>
        <w:t xml:space="preserve">$33.52 on July 28</w:t>
      </w:r>
      <w:r>
        <w:t xml:space="preserve">, up about</w:t>
      </w:r>
      <w:r>
        <w:t xml:space="preserve"> </w:t>
      </w:r>
      <w:r>
        <w:rPr>
          <w:b/>
          <w:bCs/>
        </w:rPr>
        <w:t xml:space="preserve">1.6%</w:t>
      </w:r>
      <w:r>
        <w:t xml:space="preserve"> </w:t>
      </w:r>
      <w:r>
        <w:t xml:space="preserve">from its April 29 close following 1Q earnings, but roughly</w:t>
      </w:r>
      <w:r>
        <w:t xml:space="preserve"> </w:t>
      </w:r>
      <w:r>
        <w:rPr>
          <w:b/>
          <w:bCs/>
        </w:rPr>
        <w:t xml:space="preserve">8.5% below</w:t>
      </w:r>
      <w:r>
        <w:t xml:space="preserve"> </w:t>
      </w:r>
      <w:r>
        <w:t xml:space="preserve">its July 13 closing high of $36.63. That suggests expectations have not become euphoric, though a low consensus bar also raises the threshold for what constitutes a genuinely positive surprise.</w:t>
      </w:r>
    </w:p>
    <w:bookmarkEnd w:id="21"/>
    <w:bookmarkStart w:id="22" w:name="bottom-line"/>
    <w:p>
      <w:pPr>
        <w:pStyle w:val="Heading2"/>
      </w:pPr>
      <w:r>
        <w:t xml:space="preserve">Bottom line</w:t>
      </w:r>
    </w:p>
    <w:p>
      <w:pPr>
        <w:pStyle w:val="FirstParagraph"/>
      </w:pPr>
      <w:r>
        <w:rPr>
          <w:b/>
          <w:bCs/>
        </w:rPr>
        <w:t xml:space="preserve">CMG’s 2Q26 report is a demand-validation and margin-inflection event.</w:t>
      </w:r>
      <w:r>
        <w:t xml:space="preserve"> </w:t>
      </w:r>
      <w:r>
        <w:t xml:space="preserve">A small EPS or comp beat alone is unlikely to be decisive. The more constructive outcome is: positive traffic, evidence that menu/loyalty/operations initiatives are sustaining demand beyond their initial launches, stable July trends, and a credible explanation for why margin pressure should ease in the second half.</w:t>
      </w:r>
    </w:p>
    <w:p>
      <w:pPr>
        <w:pStyle w:val="BodyText"/>
      </w:pPr>
      <w:r>
        <w:t xml:space="preserve">The risk is that CMG is spending more on marketing, labor, technology, and value while maintaining limited pricing—yet only generating low-single-digit sales growth. If that becomes the prevailing interpretation, the market may question the timing and magnitude of the company’s margin recovery even if reported EPS meets expectations.</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2026-07-29T01:18:35Z</dcterms:created>
  <dcterms:modified xsi:type="dcterms:W3CDTF">2026-07-29T01:18:35Z</dcterms:modified>
</cp:coreProperties>
</file>

<file path=docProps/custom.xml><?xml version="1.0" encoding="utf-8"?>
<Properties xmlns="http://schemas.openxmlformats.org/officeDocument/2006/custom-properties" xmlns:vt="http://schemas.openxmlformats.org/officeDocument/2006/docPropsVTypes"/>
</file>