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Chipotle Mexican Grill (CMG)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Chipotle Mexican Grill, Inc.</w:t>
            </w:r>
          </w:p>
        </w:tc>
      </w:tr>
      <w:tr>
        <w:tc>
          <w:tcPr>
            <w:tcW w:type="dxa" w:w="4320"/>
          </w:tcPr>
          <w:p>
            <w:r>
              <w:rPr>
                <w:rFonts w:ascii="Calibri" w:hAnsi="Calibri"/>
                <w:b/>
                <w:sz w:val="22"/>
              </w:rPr>
              <w:t>Ticker</w:t>
            </w:r>
          </w:p>
        </w:tc>
        <w:tc>
          <w:tcPr>
            <w:tcW w:type="dxa" w:w="4320"/>
          </w:tcPr>
          <w:p>
            <w:r>
              <w:rPr>
                <w:rFonts w:ascii="Calibri" w:hAnsi="Calibri"/>
                <w:sz w:val="22"/>
              </w:rPr>
              <w:t>CMG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(after market close)</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sits at ~+1.4% comps vs. management's guided “about +1%,” leaving a low bar on the most-watched KPI, but the real swing factor is whether transaction growth (positive for the first time in Q1) can sustain and whether restaurant-level margin can show sequential improvement despite peak beef/food cost inflation in Q2.</w:t>
      </w:r>
    </w:p>
    <w:p>
      <w:r>
        <w:rPr>
          <w:rFonts w:ascii="Calibri" w:hAnsi="Calibri"/>
          <w:color w:val="525866"/>
          <w:sz w:val="22"/>
        </w:rPr>
        <w:t xml:space="preserve">Heading into Q2 2026 results, the bar for Chipotle is deliberately low: management guided comparable sales to “about +1%” on the Q1 call, and consensus has settled at ~+1.4%, implying only a modest beat is needed to satisfy the Street. The more important question is whether the </w:t>
      </w:r>
      <w:r>
        <w:rPr>
          <w:rFonts w:ascii="Calibri" w:hAnsi="Calibri"/>
          <w:b/>
          <w:color w:val="525866"/>
          <w:sz w:val="22"/>
        </w:rPr>
        <w:t>return to positive transaction growth</w:t>
      </w:r>
      <w:r>
        <w:rPr>
          <w:rFonts w:ascii="Calibri" w:hAnsi="Calibri"/>
          <w:color w:val="525866"/>
          <w:sz w:val="22"/>
        </w:rPr>
        <w:t xml:space="preserve"> seen in Q1 (+0.6% traffic) is durable — the Chipotle Honey Chicken LTO launched April 29 and management explicitly embedded a “modest” benefit from it in Q2 guidance, while the Cilantro Lime Sauce check tailwind from Q1 is expected to be “closer to flat” in Q2. On margins, Q2 is the </w:t>
      </w:r>
      <w:r>
        <w:rPr>
          <w:rFonts w:ascii="Calibri" w:hAnsi="Calibri"/>
          <w:b/>
          <w:color w:val="525866"/>
          <w:sz w:val="22"/>
        </w:rPr>
        <w:t>peak pressure quarter</w:t>
      </w:r>
      <w:r>
        <w:rPr>
          <w:rFonts w:ascii="Calibri" w:hAnsi="Calibri"/>
          <w:color w:val="525866"/>
          <w:sz w:val="22"/>
        </w:rPr>
        <w:t xml:space="preserve">: cost of sales is guided to step up to ~30% of sales (vs. 29.6% in Q1) driven by mid-single-digit food cost inflation (beef, avocado, dairy), while pricing remains only ~1.5% — the widest pricing-vs.-inflation gap of the year. Estimate revisions have been essentially flat since the Q1 print, suggesting the Street has already digested the conservative full-year flat comp guide and is not pricing in upside. The stock has underperformed the S&amp;P 500 since Q1 earnings (CMG +1.6% vs. SPY +4.1% indexed), trading at a mid-30s forward P/E — well below its historical 40s-50s range — meaning the multiple is not stretched and a clean beat on traffic could catalyze a re-rating. The key wildcard is </w:t>
      </w:r>
      <w:r>
        <w:rPr>
          <w:rFonts w:ascii="Calibri" w:hAnsi="Calibri"/>
          <w:b/>
          <w:color w:val="525866"/>
          <w:sz w:val="22"/>
        </w:rPr>
        <w:t>beef cost trajectory</w:t>
      </w:r>
      <w:r>
        <w:rPr>
          <w:rFonts w:ascii="Calibri" w:hAnsi="Calibri"/>
          <w:color w:val="525866"/>
          <w:sz w:val="22"/>
        </w:rPr>
        <w:t>: peers (SHAK, TXRH, WEN) all flagged Q2 as the peak beef inflation quarter with relief expected in H2, and any signal from CMG that H2 food cost inflation is tracking below the guided ~4% full-year figure would be a meaningful positive surprise for margin expectations.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comparable sales (~+1.4% vs. guided ~+1%), but restaurant-level margin (~25.0%) is the bigger swing factor — any upside surprise there would require food cost inflation to track below the guided mid-single-digit Q2 range, which peers suggest is unlikely given peak beef prices in June.</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Revenue ($B)</w:t>
            </w:r>
          </w:p>
        </w:tc>
        <w:tc>
          <w:tcPr>
            <w:tcW w:type="dxa" w:w="1234"/>
          </w:tcPr>
          <w:p>
            <w:r>
              <w:rPr>
                <w:rFonts w:ascii="Calibri" w:hAnsi="Calibri"/>
                <w:sz w:val="22"/>
              </w:rPr>
              <w:t>$3.088B</w:t>
            </w:r>
          </w:p>
        </w:tc>
        <w:tc>
          <w:tcPr>
            <w:tcW w:type="dxa" w:w="1234"/>
          </w:tcPr>
          <w:p>
            <w:r>
              <w:rPr>
                <w:rFonts w:ascii="Calibri" w:hAnsi="Calibri"/>
                <w:sz w:val="22"/>
              </w:rPr>
              <w:t>$3.063B</w:t>
            </w:r>
          </w:p>
        </w:tc>
        <w:tc>
          <w:tcPr>
            <w:tcW w:type="dxa" w:w="1234"/>
          </w:tcPr>
          <w:p>
            <w:r>
              <w:rPr>
                <w:rFonts w:ascii="Calibri" w:hAnsi="Calibri"/>
                <w:sz w:val="22"/>
              </w:rPr>
              <w:t>$3.333B</w:t>
            </w:r>
          </w:p>
        </w:tc>
        <w:tc>
          <w:tcPr>
            <w:tcW w:type="dxa" w:w="1234"/>
          </w:tcPr>
          <w:p>
            <w:r>
              <w:rPr>
                <w:rFonts w:ascii="Calibri" w:hAnsi="Calibri"/>
                <w:sz w:val="22"/>
              </w:rPr>
              <w:t>+8.8% YoY</w:t>
            </w:r>
          </w:p>
        </w:tc>
        <w:tc>
          <w:tcPr>
            <w:tcW w:type="dxa" w:w="1234"/>
          </w:tcPr>
          <w:p>
            <w:r>
              <w:rPr>
                <w:rFonts w:ascii="Calibri" w:hAnsi="Calibri"/>
                <w:sz w:val="22"/>
              </w:rPr>
              <w:t>N/A (implied by comp + unit growth)</w:t>
            </w:r>
          </w:p>
        </w:tc>
        <w:tc>
          <w:tcPr>
            <w:tcW w:type="dxa" w:w="1234"/>
          </w:tcPr>
          <w:p>
            <w:r>
              <w:rPr>
                <w:rFonts w:ascii="Calibri" w:hAnsi="Calibri"/>
                <w:sz w:val="22"/>
              </w:rPr>
              <w:t>N/A</w:t>
            </w:r>
          </w:p>
        </w:tc>
      </w:tr>
      <w:tr>
        <w:tc>
          <w:tcPr>
            <w:tcW w:type="dxa" w:w="1234"/>
          </w:tcPr>
          <w:p>
            <w:r>
              <w:rPr>
                <w:rFonts w:ascii="Calibri" w:hAnsi="Calibri"/>
                <w:sz w:val="22"/>
              </w:rPr>
              <w:t>Comparable Restaurant Sales (%)</w:t>
            </w:r>
          </w:p>
        </w:tc>
        <w:tc>
          <w:tcPr>
            <w:tcW w:type="dxa" w:w="1234"/>
          </w:tcPr>
          <w:p>
            <w:r>
              <w:rPr>
                <w:rFonts w:ascii="Calibri" w:hAnsi="Calibri"/>
                <w:sz w:val="22"/>
              </w:rPr>
              <w:t>+0.5%</w:t>
            </w:r>
          </w:p>
        </w:tc>
        <w:tc>
          <w:tcPr>
            <w:tcW w:type="dxa" w:w="1234"/>
          </w:tcPr>
          <w:p>
            <w:r>
              <w:rPr>
                <w:rFonts w:ascii="Calibri" w:hAnsi="Calibri"/>
                <w:sz w:val="22"/>
              </w:rPr>
              <w:t>-4.0%</w:t>
            </w:r>
          </w:p>
        </w:tc>
        <w:tc>
          <w:tcPr>
            <w:tcW w:type="dxa" w:w="1234"/>
          </w:tcPr>
          <w:p>
            <w:r>
              <w:rPr>
                <w:rFonts w:ascii="Calibri" w:hAnsi="Calibri"/>
                <w:sz w:val="22"/>
              </w:rPr>
              <w:t>+1.4%</w:t>
            </w:r>
          </w:p>
        </w:tc>
        <w:tc>
          <w:tcPr>
            <w:tcW w:type="dxa" w:w="1234"/>
          </w:tcPr>
          <w:p>
            <w:r>
              <w:rPr>
                <w:rFonts w:ascii="Calibri" w:hAnsi="Calibri"/>
                <w:sz w:val="22"/>
              </w:rPr>
              <w:t>+540 bps YoY</w:t>
            </w:r>
          </w:p>
        </w:tc>
        <w:tc>
          <w:tcPr>
            <w:tcW w:type="dxa" w:w="1234"/>
          </w:tcPr>
          <w:p>
            <w:r>
              <w:rPr>
                <w:rFonts w:ascii="Calibri" w:hAnsi="Calibri"/>
                <w:sz w:val="22"/>
              </w:rPr>
              <w:t>~+1%</w:t>
            </w:r>
          </w:p>
        </w:tc>
        <w:tc>
          <w:tcPr>
            <w:tcW w:type="dxa" w:w="1234"/>
          </w:tcPr>
          <w:p>
            <w:r>
              <w:rPr>
                <w:rFonts w:ascii="Calibri" w:hAnsi="Calibri"/>
                <w:sz w:val="22"/>
              </w:rPr>
              <w:t>+~40 bps above guide</w:t>
            </w:r>
          </w:p>
        </w:tc>
      </w:tr>
      <w:tr>
        <w:tc>
          <w:tcPr>
            <w:tcW w:type="dxa" w:w="1234"/>
          </w:tcPr>
          <w:p>
            <w:r>
              <w:rPr>
                <w:rFonts w:ascii="Calibri" w:hAnsi="Calibri"/>
                <w:sz w:val="22"/>
              </w:rPr>
              <w:t>Same-Store Traffic (%)</w:t>
            </w:r>
          </w:p>
        </w:tc>
        <w:tc>
          <w:tcPr>
            <w:tcW w:type="dxa" w:w="1234"/>
          </w:tcPr>
          <w:p>
            <w:r>
              <w:rPr>
                <w:rFonts w:ascii="Calibri" w:hAnsi="Calibri"/>
                <w:sz w:val="22"/>
              </w:rPr>
              <w:t>+0.6%</w:t>
            </w:r>
          </w:p>
        </w:tc>
        <w:tc>
          <w:tcPr>
            <w:tcW w:type="dxa" w:w="1234"/>
          </w:tcPr>
          <w:p>
            <w:r>
              <w:rPr>
                <w:rFonts w:ascii="Calibri" w:hAnsi="Calibri"/>
                <w:sz w:val="22"/>
              </w:rPr>
              <w:t>-4.9%</w:t>
            </w:r>
          </w:p>
        </w:tc>
        <w:tc>
          <w:tcPr>
            <w:tcW w:type="dxa" w:w="1234"/>
          </w:tcPr>
          <w:p>
            <w:r>
              <w:rPr>
                <w:rFonts w:ascii="Calibri" w:hAnsi="Calibri"/>
                <w:sz w:val="22"/>
              </w:rPr>
              <w:t>+0.4%</w:t>
            </w:r>
          </w:p>
        </w:tc>
        <w:tc>
          <w:tcPr>
            <w:tcW w:type="dxa" w:w="1234"/>
          </w:tcPr>
          <w:p>
            <w:r>
              <w:rPr>
                <w:rFonts w:ascii="Calibri" w:hAnsi="Calibri"/>
                <w:sz w:val="22"/>
              </w:rPr>
              <w:t>+530 bps YoY</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Restaurant-Level Margin (%)</w:t>
            </w:r>
          </w:p>
        </w:tc>
        <w:tc>
          <w:tcPr>
            <w:tcW w:type="dxa" w:w="1234"/>
          </w:tcPr>
          <w:p>
            <w:r>
              <w:rPr>
                <w:rFonts w:ascii="Calibri" w:hAnsi="Calibri"/>
                <w:sz w:val="22"/>
              </w:rPr>
              <w:t>23.3%</w:t>
            </w:r>
          </w:p>
        </w:tc>
        <w:tc>
          <w:tcPr>
            <w:tcW w:type="dxa" w:w="1234"/>
          </w:tcPr>
          <w:p>
            <w:r>
              <w:rPr>
                <w:rFonts w:ascii="Calibri" w:hAnsi="Calibri"/>
                <w:sz w:val="22"/>
              </w:rPr>
              <w:t>27.4%</w:t>
            </w:r>
          </w:p>
        </w:tc>
        <w:tc>
          <w:tcPr>
            <w:tcW w:type="dxa" w:w="1234"/>
          </w:tcPr>
          <w:p>
            <w:r>
              <w:rPr>
                <w:rFonts w:ascii="Calibri" w:hAnsi="Calibri"/>
                <w:sz w:val="22"/>
              </w:rPr>
              <w:t>25.0%</w:t>
            </w:r>
          </w:p>
        </w:tc>
        <w:tc>
          <w:tcPr>
            <w:tcW w:type="dxa" w:w="1234"/>
          </w:tcPr>
          <w:p>
            <w:r>
              <w:rPr>
                <w:rFonts w:ascii="Calibri" w:hAnsi="Calibri"/>
                <w:sz w:val="22"/>
              </w:rPr>
              <w:t>-240 bps YoY</w:t>
            </w:r>
          </w:p>
        </w:tc>
        <w:tc>
          <w:tcPr>
            <w:tcW w:type="dxa" w:w="1234"/>
          </w:tcPr>
          <w:p>
            <w:r>
              <w:rPr>
                <w:rFonts w:ascii="Calibri" w:hAnsi="Calibri"/>
                <w:sz w:val="22"/>
              </w:rPr>
              <w:t>Implied ~24.5–25.0% (cost of sales ~30%, labor low-25%)</w:t>
            </w:r>
          </w:p>
        </w:tc>
        <w:tc>
          <w:tcPr>
            <w:tcW w:type="dxa" w:w="1234"/>
          </w:tcPr>
          <w:p>
            <w:r>
              <w:rPr>
                <w:rFonts w:ascii="Calibri" w:hAnsi="Calibri"/>
                <w:sz w:val="22"/>
              </w:rPr>
              <w:t>~flat to guide midpoint</w:t>
            </w:r>
          </w:p>
        </w:tc>
      </w:tr>
      <w:tr>
        <w:tc>
          <w:tcPr>
            <w:tcW w:type="dxa" w:w="1234"/>
          </w:tcPr>
          <w:p>
            <w:r>
              <w:rPr>
                <w:rFonts w:ascii="Calibri" w:hAnsi="Calibri"/>
                <w:sz w:val="22"/>
              </w:rPr>
              <w:t>Food, Bev &amp; Packaging (% of revenue)</w:t>
            </w:r>
          </w:p>
        </w:tc>
        <w:tc>
          <w:tcPr>
            <w:tcW w:type="dxa" w:w="1234"/>
          </w:tcPr>
          <w:p>
            <w:r>
              <w:rPr>
                <w:rFonts w:ascii="Calibri" w:hAnsi="Calibri"/>
                <w:sz w:val="22"/>
              </w:rPr>
              <w:t>29.6%</w:t>
            </w:r>
          </w:p>
        </w:tc>
        <w:tc>
          <w:tcPr>
            <w:tcW w:type="dxa" w:w="1234"/>
          </w:tcPr>
          <w:p>
            <w:r>
              <w:rPr>
                <w:rFonts w:ascii="Calibri" w:hAnsi="Calibri"/>
                <w:sz w:val="22"/>
              </w:rPr>
              <w:t>28.9%</w:t>
            </w:r>
          </w:p>
        </w:tc>
        <w:tc>
          <w:tcPr>
            <w:tcW w:type="dxa" w:w="1234"/>
          </w:tcPr>
          <w:p>
            <w:r>
              <w:rPr>
                <w:rFonts w:ascii="Calibri" w:hAnsi="Calibri"/>
                <w:sz w:val="22"/>
              </w:rPr>
              <w:t>30.0%</w:t>
            </w:r>
          </w:p>
        </w:tc>
        <w:tc>
          <w:tcPr>
            <w:tcW w:type="dxa" w:w="1234"/>
          </w:tcPr>
          <w:p>
            <w:r>
              <w:rPr>
                <w:rFonts w:ascii="Calibri" w:hAnsi="Calibri"/>
                <w:sz w:val="22"/>
              </w:rPr>
              <w:t>+110 bps YoY</w:t>
            </w:r>
          </w:p>
        </w:tc>
        <w:tc>
          <w:tcPr>
            <w:tcW w:type="dxa" w:w="1234"/>
          </w:tcPr>
          <w:p>
            <w:r>
              <w:rPr>
                <w:rFonts w:ascii="Calibri" w:hAnsi="Calibri"/>
                <w:sz w:val="22"/>
              </w:rPr>
              <w:t>~30% (guided explicitly)</w:t>
            </w:r>
          </w:p>
        </w:tc>
        <w:tc>
          <w:tcPr>
            <w:tcW w:type="dxa" w:w="1234"/>
          </w:tcPr>
          <w:p>
            <w:r>
              <w:rPr>
                <w:rFonts w:ascii="Calibri" w:hAnsi="Calibri"/>
                <w:sz w:val="22"/>
              </w:rPr>
              <w:t>~flat to guide</w:t>
            </w:r>
          </w:p>
        </w:tc>
      </w:tr>
      <w:tr>
        <w:tc>
          <w:tcPr>
            <w:tcW w:type="dxa" w:w="1234"/>
          </w:tcPr>
          <w:p>
            <w:r>
              <w:rPr>
                <w:rFonts w:ascii="Calibri" w:hAnsi="Calibri"/>
                <w:sz w:val="22"/>
              </w:rPr>
              <w:t>Labor (% of revenue)</w:t>
            </w:r>
          </w:p>
        </w:tc>
        <w:tc>
          <w:tcPr>
            <w:tcW w:type="dxa" w:w="1234"/>
          </w:tcPr>
          <w:p>
            <w:r>
              <w:rPr>
                <w:rFonts w:ascii="Calibri" w:hAnsi="Calibri"/>
                <w:sz w:val="22"/>
              </w:rPr>
              <w:t>26.1%</w:t>
            </w:r>
          </w:p>
        </w:tc>
        <w:tc>
          <w:tcPr>
            <w:tcW w:type="dxa" w:w="1234"/>
          </w:tcPr>
          <w:p>
            <w:r>
              <w:rPr>
                <w:rFonts w:ascii="Calibri" w:hAnsi="Calibri"/>
                <w:sz w:val="22"/>
              </w:rPr>
              <w:t>24.7%</w:t>
            </w:r>
          </w:p>
        </w:tc>
        <w:tc>
          <w:tcPr>
            <w:tcW w:type="dxa" w:w="1234"/>
          </w:tcPr>
          <w:p>
            <w:r>
              <w:rPr>
                <w:rFonts w:ascii="Calibri" w:hAnsi="Calibri"/>
                <w:sz w:val="22"/>
              </w:rPr>
              <w:t>25.1%</w:t>
            </w:r>
          </w:p>
        </w:tc>
        <w:tc>
          <w:tcPr>
            <w:tcW w:type="dxa" w:w="1234"/>
          </w:tcPr>
          <w:p>
            <w:r>
              <w:rPr>
                <w:rFonts w:ascii="Calibri" w:hAnsi="Calibri"/>
                <w:sz w:val="22"/>
              </w:rPr>
              <w:t>+40 bps YoY</w:t>
            </w:r>
          </w:p>
        </w:tc>
        <w:tc>
          <w:tcPr>
            <w:tcW w:type="dxa" w:w="1234"/>
          </w:tcPr>
          <w:p>
            <w:r>
              <w:rPr>
                <w:rFonts w:ascii="Calibri" w:hAnsi="Calibri"/>
                <w:sz w:val="22"/>
              </w:rPr>
              <w:t>Low-25% range (guided)</w:t>
            </w:r>
          </w:p>
        </w:tc>
        <w:tc>
          <w:tcPr>
            <w:tcW w:type="dxa" w:w="1234"/>
          </w:tcPr>
          <w:p>
            <w:r>
              <w:rPr>
                <w:rFonts w:ascii="Calibri" w:hAnsi="Calibri"/>
                <w:sz w:val="22"/>
              </w:rPr>
              <w:t>~flat to guide</w:t>
            </w:r>
          </w:p>
        </w:tc>
      </w:tr>
      <w:tr>
        <w:tc>
          <w:tcPr>
            <w:tcW w:type="dxa" w:w="1234"/>
          </w:tcPr>
          <w:p>
            <w:r>
              <w:rPr>
                <w:rFonts w:ascii="Calibri" w:hAnsi="Calibri"/>
                <w:sz w:val="22"/>
              </w:rPr>
              <w:t>Adj. EPS - Diluted (Operating)</w:t>
            </w:r>
          </w:p>
        </w:tc>
        <w:tc>
          <w:tcPr>
            <w:tcW w:type="dxa" w:w="1234"/>
          </w:tcPr>
          <w:p>
            <w:r>
              <w:rPr>
                <w:rFonts w:ascii="Calibri" w:hAnsi="Calibri"/>
                <w:sz w:val="22"/>
              </w:rPr>
              <w:t>$0.240</w:t>
            </w:r>
          </w:p>
        </w:tc>
        <w:tc>
          <w:tcPr>
            <w:tcW w:type="dxa" w:w="1234"/>
          </w:tcPr>
          <w:p>
            <w:r>
              <w:rPr>
                <w:rFonts w:ascii="Calibri" w:hAnsi="Calibri"/>
                <w:sz w:val="22"/>
              </w:rPr>
              <w:t>$0.330</w:t>
            </w:r>
          </w:p>
        </w:tc>
        <w:tc>
          <w:tcPr>
            <w:tcW w:type="dxa" w:w="1234"/>
          </w:tcPr>
          <w:p>
            <w:r>
              <w:rPr>
                <w:rFonts w:ascii="Calibri" w:hAnsi="Calibri"/>
                <w:sz w:val="22"/>
              </w:rPr>
              <w:t>$0.320</w:t>
            </w:r>
          </w:p>
        </w:tc>
        <w:tc>
          <w:tcPr>
            <w:tcW w:type="dxa" w:w="1234"/>
          </w:tcPr>
          <w:p>
            <w:r>
              <w:rPr>
                <w:rFonts w:ascii="Calibri" w:hAnsi="Calibri"/>
                <w:sz w:val="22"/>
              </w:rPr>
              <w:t>-3.0% YoY</w:t>
            </w:r>
          </w:p>
        </w:tc>
        <w:tc>
          <w:tcPr>
            <w:tcW w:type="dxa" w:w="1234"/>
          </w:tcPr>
          <w:p>
            <w:r>
              <w:rPr>
                <w:rFonts w:ascii="Calibri" w:hAnsi="Calibri"/>
                <w:sz w:val="22"/>
              </w:rPr>
              <w:t>Not explicitly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Q2 2026 guidance per Q1 2026 earnings call (April 29, 2026). Revenue consensus $3.333B; Comparable Sales consensus +1.37%; Traffic consensus +0.36%; Restaurant-Level Margin consensus 25.01%; Food &amp; Bev % consensus 30.01%; Labor % consensus 25.14%; Adj. EPS consensus $0.320.</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Comparable Restaurant Sales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+11.1%</w:t>
            </w:r>
          </w:p>
        </w:tc>
        <w:tc>
          <w:tcPr>
            <w:tcW w:type="dxa" w:w="1728"/>
          </w:tcPr>
          <w:p>
            <w:r>
              <w:rPr>
                <w:rFonts w:ascii="Calibri" w:hAnsi="Calibri"/>
                <w:sz w:val="22"/>
              </w:rPr>
              <w:t>+9.1%</w:t>
            </w:r>
          </w:p>
        </w:tc>
        <w:tc>
          <w:tcPr>
            <w:tcW w:type="dxa" w:w="1728"/>
          </w:tcPr>
          <w:p>
            <w:r>
              <w:rPr>
                <w:rFonts w:ascii="Calibri" w:hAnsi="Calibri"/>
                <w:sz w:val="22"/>
              </w:rPr>
              <w:t>+196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+6.0%</w:t>
            </w:r>
          </w:p>
        </w:tc>
        <w:tc>
          <w:tcPr>
            <w:tcW w:type="dxa" w:w="1728"/>
          </w:tcPr>
          <w:p>
            <w:r>
              <w:rPr>
                <w:rFonts w:ascii="Calibri" w:hAnsi="Calibri"/>
                <w:sz w:val="22"/>
              </w:rPr>
              <w:t>+6.2%</w:t>
            </w:r>
          </w:p>
        </w:tc>
        <w:tc>
          <w:tcPr>
            <w:tcW w:type="dxa" w:w="1728"/>
          </w:tcPr>
          <w:p>
            <w:r>
              <w:rPr>
                <w:rFonts w:ascii="Calibri" w:hAnsi="Calibri"/>
                <w:sz w:val="22"/>
              </w:rPr>
              <w:t>-20 bps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+5.4%</w:t>
            </w:r>
          </w:p>
        </w:tc>
        <w:tc>
          <w:tcPr>
            <w:tcW w:type="dxa" w:w="1728"/>
          </w:tcPr>
          <w:p>
            <w:r>
              <w:rPr>
                <w:rFonts w:ascii="Calibri" w:hAnsi="Calibri"/>
                <w:sz w:val="22"/>
              </w:rPr>
              <w:t>+5.6%</w:t>
            </w:r>
          </w:p>
        </w:tc>
        <w:tc>
          <w:tcPr>
            <w:tcW w:type="dxa" w:w="1728"/>
          </w:tcPr>
          <w:p>
            <w:r>
              <w:rPr>
                <w:rFonts w:ascii="Calibri" w:hAnsi="Calibri"/>
                <w:sz w:val="22"/>
              </w:rPr>
              <w:t>-23 bps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-0.4%</w:t>
            </w:r>
          </w:p>
        </w:tc>
        <w:tc>
          <w:tcPr>
            <w:tcW w:type="dxa" w:w="1728"/>
          </w:tcPr>
          <w:p>
            <w:r>
              <w:rPr>
                <w:rFonts w:ascii="Calibri" w:hAnsi="Calibri"/>
                <w:sz w:val="22"/>
              </w:rPr>
              <w:t>+1.5%</w:t>
            </w:r>
          </w:p>
        </w:tc>
        <w:tc>
          <w:tcPr>
            <w:tcW w:type="dxa" w:w="1728"/>
          </w:tcPr>
          <w:p>
            <w:r>
              <w:rPr>
                <w:rFonts w:ascii="Calibri" w:hAnsi="Calibri"/>
                <w:sz w:val="22"/>
              </w:rPr>
              <w:t>-192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-4.0%</w:t>
            </w:r>
          </w:p>
        </w:tc>
        <w:tc>
          <w:tcPr>
            <w:tcW w:type="dxa" w:w="1728"/>
          </w:tcPr>
          <w:p>
            <w:r>
              <w:rPr>
                <w:rFonts w:ascii="Calibri" w:hAnsi="Calibri"/>
                <w:sz w:val="22"/>
              </w:rPr>
              <w:t>-2.8%</w:t>
            </w:r>
          </w:p>
        </w:tc>
        <w:tc>
          <w:tcPr>
            <w:tcW w:type="dxa" w:w="1728"/>
          </w:tcPr>
          <w:p>
            <w:r>
              <w:rPr>
                <w:rFonts w:ascii="Calibri" w:hAnsi="Calibri"/>
                <w:sz w:val="22"/>
              </w:rPr>
              <w:t>-115 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+0.3%</w:t>
            </w:r>
          </w:p>
        </w:tc>
        <w:tc>
          <w:tcPr>
            <w:tcW w:type="dxa" w:w="1728"/>
          </w:tcPr>
          <w:p>
            <w:r>
              <w:rPr>
                <w:rFonts w:ascii="Calibri" w:hAnsi="Calibri"/>
                <w:sz w:val="22"/>
              </w:rPr>
              <w:t>+0.5%</w:t>
            </w:r>
          </w:p>
        </w:tc>
        <w:tc>
          <w:tcPr>
            <w:tcW w:type="dxa" w:w="1728"/>
          </w:tcPr>
          <w:p>
            <w:r>
              <w:rPr>
                <w:rFonts w:ascii="Calibri" w:hAnsi="Calibri"/>
                <w:sz w:val="22"/>
              </w:rPr>
              <w:t>-21 bps</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-2.5%</w:t>
            </w:r>
          </w:p>
        </w:tc>
        <w:tc>
          <w:tcPr>
            <w:tcW w:type="dxa" w:w="1728"/>
          </w:tcPr>
          <w:p>
            <w:r>
              <w:rPr>
                <w:rFonts w:ascii="Calibri" w:hAnsi="Calibri"/>
                <w:sz w:val="22"/>
              </w:rPr>
              <w:t>-3.0%</w:t>
            </w:r>
          </w:p>
        </w:tc>
        <w:tc>
          <w:tcPr>
            <w:tcW w:type="dxa" w:w="1728"/>
          </w:tcPr>
          <w:p>
            <w:r>
              <w:rPr>
                <w:rFonts w:ascii="Calibri" w:hAnsi="Calibri"/>
                <w:sz w:val="22"/>
              </w:rPr>
              <w:t>+46 bps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+0.5%</w:t>
            </w:r>
          </w:p>
        </w:tc>
        <w:tc>
          <w:tcPr>
            <w:tcW w:type="dxa" w:w="1728"/>
          </w:tcPr>
          <w:p>
            <w:r>
              <w:rPr>
                <w:rFonts w:ascii="Calibri" w:hAnsi="Calibri"/>
                <w:sz w:val="22"/>
              </w:rPr>
              <w:t>-0.8%</w:t>
            </w:r>
          </w:p>
        </w:tc>
        <w:tc>
          <w:tcPr>
            <w:tcW w:type="dxa" w:w="1728"/>
          </w:tcPr>
          <w:p>
            <w:r>
              <w:rPr>
                <w:rFonts w:ascii="Calibri" w:hAnsi="Calibri"/>
                <w:sz w:val="22"/>
              </w:rPr>
              <w:t>+130 bps</w:t>
            </w:r>
          </w:p>
        </w:tc>
        <w:tc>
          <w:tcPr>
            <w:tcW w:type="dxa" w:w="1728"/>
          </w:tcPr>
          <w:p>
            <w:r>
              <w:rPr>
                <w:rFonts w:ascii="Calibri" w:hAnsi="Calibri"/>
                <w:b/>
                <w:color w:val="30A46C"/>
                <w:sz w:val="22"/>
              </w:rPr>
              <w:t>Beat</w:t>
            </w:r>
          </w:p>
        </w:tc>
      </w:tr>
    </w:tbl>
    <w:p>
      <w:pPr>
        <w:pStyle w:val="Heading3"/>
      </w:pPr>
      <w:r>
        <w:rPr>
          <w:rFonts w:ascii="Calibri" w:hAnsi="Calibri"/>
          <w:b/>
          <w:color w:val="3B4259"/>
          <w:sz w:val="24"/>
        </w:rPr>
        <w:t>Adj.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$0.340</w:t>
            </w:r>
          </w:p>
        </w:tc>
        <w:tc>
          <w:tcPr>
            <w:tcW w:type="dxa" w:w="1728"/>
          </w:tcPr>
          <w:p>
            <w:r>
              <w:rPr>
                <w:rFonts w:ascii="Calibri" w:hAnsi="Calibri"/>
                <w:sz w:val="22"/>
              </w:rPr>
              <w:t>$0.316</w:t>
            </w:r>
          </w:p>
        </w:tc>
        <w:tc>
          <w:tcPr>
            <w:tcW w:type="dxa" w:w="1728"/>
          </w:tcPr>
          <w:p>
            <w:r>
              <w:rPr>
                <w:rFonts w:ascii="Calibri" w:hAnsi="Calibri"/>
                <w:sz w:val="22"/>
              </w:rPr>
              <w:t>+7.6%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$0.267</w:t>
            </w:r>
          </w:p>
        </w:tc>
        <w:tc>
          <w:tcPr>
            <w:tcW w:type="dxa" w:w="1728"/>
          </w:tcPr>
          <w:p>
            <w:r>
              <w:rPr>
                <w:rFonts w:ascii="Calibri" w:hAnsi="Calibri"/>
                <w:sz w:val="22"/>
              </w:rPr>
              <w:t>$0.252</w:t>
            </w:r>
          </w:p>
        </w:tc>
        <w:tc>
          <w:tcPr>
            <w:tcW w:type="dxa" w:w="1728"/>
          </w:tcPr>
          <w:p>
            <w:r>
              <w:rPr>
                <w:rFonts w:ascii="Calibri" w:hAnsi="Calibri"/>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$0.250</w:t>
            </w:r>
          </w:p>
        </w:tc>
        <w:tc>
          <w:tcPr>
            <w:tcW w:type="dxa" w:w="1728"/>
          </w:tcPr>
          <w:p>
            <w:r>
              <w:rPr>
                <w:rFonts w:ascii="Calibri" w:hAnsi="Calibri"/>
                <w:sz w:val="22"/>
              </w:rPr>
              <w:t>$0.245</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$0.292</w:t>
            </w:r>
          </w:p>
        </w:tc>
        <w:tc>
          <w:tcPr>
            <w:tcW w:type="dxa" w:w="1728"/>
          </w:tcPr>
          <w:p>
            <w:r>
              <w:rPr>
                <w:rFonts w:ascii="Calibri" w:hAnsi="Calibri"/>
                <w:sz w:val="22"/>
              </w:rPr>
              <w:t>$0.276</w:t>
            </w:r>
          </w:p>
        </w:tc>
        <w:tc>
          <w:tcPr>
            <w:tcW w:type="dxa" w:w="1728"/>
          </w:tcPr>
          <w:p>
            <w:r>
              <w:rPr>
                <w:rFonts w:ascii="Calibri" w:hAnsi="Calibri"/>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$0.330</w:t>
            </w:r>
          </w:p>
        </w:tc>
        <w:tc>
          <w:tcPr>
            <w:tcW w:type="dxa" w:w="1728"/>
          </w:tcPr>
          <w:p>
            <w:r>
              <w:rPr>
                <w:rFonts w:ascii="Calibri" w:hAnsi="Calibri"/>
                <w:sz w:val="22"/>
              </w:rPr>
              <w:t>$0.326</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$0.290</w:t>
            </w:r>
          </w:p>
        </w:tc>
        <w:tc>
          <w:tcPr>
            <w:tcW w:type="dxa" w:w="1728"/>
          </w:tcPr>
          <w:p>
            <w:r>
              <w:rPr>
                <w:rFonts w:ascii="Calibri" w:hAnsi="Calibri"/>
                <w:sz w:val="22"/>
              </w:rPr>
              <w:t>$0.286</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$0.250</w:t>
            </w:r>
          </w:p>
        </w:tc>
        <w:tc>
          <w:tcPr>
            <w:tcW w:type="dxa" w:w="1728"/>
          </w:tcPr>
          <w:p>
            <w:r>
              <w:rPr>
                <w:rFonts w:ascii="Calibri" w:hAnsi="Calibri"/>
                <w:sz w:val="22"/>
              </w:rPr>
              <w:t>$0.239</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$0.240</w:t>
            </w:r>
          </w:p>
        </w:tc>
        <w:tc>
          <w:tcPr>
            <w:tcW w:type="dxa" w:w="1728"/>
          </w:tcPr>
          <w:p>
            <w:r>
              <w:rPr>
                <w:rFonts w:ascii="Calibri" w:hAnsi="Calibri"/>
                <w:sz w:val="22"/>
              </w:rPr>
              <w:t>$0.238</w:t>
            </w:r>
          </w:p>
        </w:tc>
        <w:tc>
          <w:tcPr>
            <w:tcW w:type="dxa" w:w="1728"/>
          </w:tcPr>
          <w:p>
            <w:r>
              <w:rPr>
                <w:rFonts w:ascii="Calibri" w:hAnsi="Calibri"/>
                <w:sz w:val="22"/>
              </w:rPr>
              <w:t>+0.7%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CMG has beaten adj. EPS consensus in all 8 of the last 8 quarters, though the magnitude of beats has compressed sharply (from +7.6% in Q2 2024 to +0.7% in Q1 2026), reflecting a tighter bar and genuine margin pressure. On comparable sales, CMG missed in 5 of the last 8 quarters as the consumer demand reset played out, but has beaten in the last two quarters (Q4 2025 and Q1 2026), suggesting the bar has been reset low enough to clear.</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 management maintained a conservative full-year flat comp guide despite trending above it, and no post-earnings 8-K or conference has revised any metric. Tone has shifted from cautious to cautiously optimistic, but management is deliberately holding back on raising guidance given geopolitical uncertainty and the dynamic consumer environment.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Comparable Sales</w:t>
            </w:r>
          </w:p>
        </w:tc>
        <w:tc>
          <w:tcPr>
            <w:tcW w:type="dxa" w:w="1728"/>
          </w:tcPr>
          <w:p>
            <w:r>
              <w:rPr>
                <w:rFonts w:ascii="Calibri" w:hAnsi="Calibri"/>
                <w:sz w:val="22"/>
              </w:rPr>
              <w:t>~+1%</w:t>
            </w:r>
          </w:p>
        </w:tc>
        <w:tc>
          <w:tcPr>
            <w:tcW w:type="dxa" w:w="1728"/>
          </w:tcPr>
          <w:p>
            <w:r>
              <w:rPr>
                <w:rFonts w:ascii="Calibri" w:hAnsi="Calibri"/>
                <w:sz w:val="22"/>
              </w:rPr>
              <w:t>—</w:t>
            </w:r>
          </w:p>
        </w:tc>
        <w:tc>
          <w:tcPr>
            <w:tcW w:type="dxa" w:w="1728"/>
          </w:tcPr>
          <w:p>
            <w:r>
              <w:rPr>
                <w:rFonts w:ascii="Calibri" w:hAnsi="Calibri"/>
                <w:sz w:val="22"/>
              </w:rPr>
              <w:t>+1.4%</w:t>
            </w:r>
          </w:p>
        </w:tc>
        <w:tc>
          <w:tcPr>
            <w:tcW w:type="dxa" w:w="1728"/>
          </w:tcPr>
          <w:p>
            <w:r>
              <w:rPr>
                <w:rFonts w:ascii="Calibri" w:hAnsi="Calibri"/>
                <w:sz w:val="22"/>
              </w:rPr>
              <w:t>Unchanged; includes modest benefit from Honey Chicken LTO launched Apr 29</w:t>
            </w:r>
          </w:p>
        </w:tc>
      </w:tr>
      <w:tr>
        <w:tc>
          <w:tcPr>
            <w:tcW w:type="dxa" w:w="1728"/>
          </w:tcPr>
          <w:p>
            <w:r>
              <w:rPr>
                <w:rFonts w:ascii="Calibri" w:hAnsi="Calibri"/>
                <w:sz w:val="22"/>
              </w:rPr>
              <w:t>FY 2026 Comparable Sales</w:t>
            </w:r>
          </w:p>
        </w:tc>
        <w:tc>
          <w:tcPr>
            <w:tcW w:type="dxa" w:w="1728"/>
          </w:tcPr>
          <w:p>
            <w:r>
              <w:rPr>
                <w:rFonts w:ascii="Calibri" w:hAnsi="Calibri"/>
                <w:sz w:val="22"/>
              </w:rPr>
              <w:t>~Flat</w:t>
            </w:r>
          </w:p>
        </w:tc>
        <w:tc>
          <w:tcPr>
            <w:tcW w:type="dxa" w:w="1728"/>
          </w:tcPr>
          <w:p>
            <w:r>
              <w:rPr>
                <w:rFonts w:ascii="Calibri" w:hAnsi="Calibri"/>
                <w:sz w:val="22"/>
              </w:rPr>
              <w:t>—</w:t>
            </w:r>
          </w:p>
        </w:tc>
        <w:tc>
          <w:tcPr>
            <w:tcW w:type="dxa" w:w="1728"/>
          </w:tcPr>
          <w:p>
            <w:r>
              <w:rPr>
                <w:rFonts w:ascii="Calibri" w:hAnsi="Calibri"/>
                <w:sz w:val="22"/>
              </w:rPr>
              <w:t>+1.5%</w:t>
            </w:r>
          </w:p>
        </w:tc>
        <w:tc>
          <w:tcPr>
            <w:tcW w:type="dxa" w:w="1728"/>
          </w:tcPr>
          <w:p>
            <w:r>
              <w:rPr>
                <w:rFonts w:ascii="Calibri" w:hAnsi="Calibri"/>
                <w:sz w:val="22"/>
              </w:rPr>
              <w:t>Unchanged; mgmt acknowledged trending above guide but maintained conservative stance citing dynamic consumer environment and Iran conflict</w:t>
            </w:r>
          </w:p>
        </w:tc>
      </w:tr>
      <w:tr>
        <w:tc>
          <w:tcPr>
            <w:tcW w:type="dxa" w:w="1728"/>
          </w:tcPr>
          <w:p>
            <w:r>
              <w:rPr>
                <w:rFonts w:ascii="Calibri" w:hAnsi="Calibri"/>
                <w:sz w:val="22"/>
              </w:rPr>
              <w:t>Q2 2026 Cost of Sales (% rev)</w:t>
            </w:r>
          </w:p>
        </w:tc>
        <w:tc>
          <w:tcPr>
            <w:tcW w:type="dxa" w:w="1728"/>
          </w:tcPr>
          <w:p>
            <w:r>
              <w:rPr>
                <w:rFonts w:ascii="Calibri" w:hAnsi="Calibri"/>
                <w:sz w:val="22"/>
              </w:rPr>
              <w:t>~30%</w:t>
            </w:r>
          </w:p>
        </w:tc>
        <w:tc>
          <w:tcPr>
            <w:tcW w:type="dxa" w:w="1728"/>
          </w:tcPr>
          <w:p>
            <w:r>
              <w:rPr>
                <w:rFonts w:ascii="Calibri" w:hAnsi="Calibri"/>
                <w:sz w:val="22"/>
              </w:rPr>
              <w:t>—</w:t>
            </w:r>
          </w:p>
        </w:tc>
        <w:tc>
          <w:tcPr>
            <w:tcW w:type="dxa" w:w="1728"/>
          </w:tcPr>
          <w:p>
            <w:r>
              <w:rPr>
                <w:rFonts w:ascii="Calibri" w:hAnsi="Calibri"/>
                <w:sz w:val="22"/>
              </w:rPr>
              <w:t>30.0%</w:t>
            </w:r>
          </w:p>
        </w:tc>
        <w:tc>
          <w:tcPr>
            <w:tcW w:type="dxa" w:w="1728"/>
          </w:tcPr>
          <w:p>
            <w:r>
              <w:rPr>
                <w:rFonts w:ascii="Calibri" w:hAnsi="Calibri"/>
                <w:sz w:val="22"/>
              </w:rPr>
              <w:t>Unchanged; mid-single-digit food cost inflation guided for Q2 (beef, avocado, dairy)</w:t>
            </w:r>
          </w:p>
        </w:tc>
      </w:tr>
      <w:tr>
        <w:tc>
          <w:tcPr>
            <w:tcW w:type="dxa" w:w="1728"/>
          </w:tcPr>
          <w:p>
            <w:r>
              <w:rPr>
                <w:rFonts w:ascii="Calibri" w:hAnsi="Calibri"/>
                <w:sz w:val="22"/>
              </w:rPr>
              <w:t>Q2 2026 Labor (% rev)</w:t>
            </w:r>
          </w:p>
        </w:tc>
        <w:tc>
          <w:tcPr>
            <w:tcW w:type="dxa" w:w="1728"/>
          </w:tcPr>
          <w:p>
            <w:r>
              <w:rPr>
                <w:rFonts w:ascii="Calibri" w:hAnsi="Calibri"/>
                <w:sz w:val="22"/>
              </w:rPr>
              <w:t>Low-25% range</w:t>
            </w:r>
          </w:p>
        </w:tc>
        <w:tc>
          <w:tcPr>
            <w:tcW w:type="dxa" w:w="1728"/>
          </w:tcPr>
          <w:p>
            <w:r>
              <w:rPr>
                <w:rFonts w:ascii="Calibri" w:hAnsi="Calibri"/>
                <w:sz w:val="22"/>
              </w:rPr>
              <w:t>—</w:t>
            </w:r>
          </w:p>
        </w:tc>
        <w:tc>
          <w:tcPr>
            <w:tcW w:type="dxa" w:w="1728"/>
          </w:tcPr>
          <w:p>
            <w:r>
              <w:rPr>
                <w:rFonts w:ascii="Calibri" w:hAnsi="Calibri"/>
                <w:sz w:val="22"/>
              </w:rPr>
              <w:t>25.1%</w:t>
            </w:r>
          </w:p>
        </w:tc>
        <w:tc>
          <w:tcPr>
            <w:tcW w:type="dxa" w:w="1728"/>
          </w:tcPr>
          <w:p>
            <w:r>
              <w:rPr>
                <w:rFonts w:ascii="Calibri" w:hAnsi="Calibri"/>
                <w:sz w:val="22"/>
              </w:rPr>
              <w:t>Unchanged; wage inflation guided low-single-digit range</w:t>
            </w:r>
          </w:p>
        </w:tc>
      </w:tr>
      <w:tr>
        <w:tc>
          <w:tcPr>
            <w:tcW w:type="dxa" w:w="1728"/>
          </w:tcPr>
          <w:p>
            <w:r>
              <w:rPr>
                <w:rFonts w:ascii="Calibri" w:hAnsi="Calibri"/>
                <w:sz w:val="22"/>
              </w:rPr>
              <w:t>Q2 2026 Other Operating Costs (% rev)</w:t>
            </w:r>
          </w:p>
        </w:tc>
        <w:tc>
          <w:tcPr>
            <w:tcW w:type="dxa" w:w="1728"/>
          </w:tcPr>
          <w:p>
            <w:r>
              <w:rPr>
                <w:rFonts w:ascii="Calibri" w:hAnsi="Calibri"/>
                <w:sz w:val="22"/>
              </w:rPr>
              <w:t>High-14% range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Q2 2026 G&amp;A (non-GAAP)</w:t>
            </w:r>
          </w:p>
        </w:tc>
        <w:tc>
          <w:tcPr>
            <w:tcW w:type="dxa" w:w="1728"/>
          </w:tcPr>
          <w:p>
            <w:r>
              <w:rPr>
                <w:rFonts w:ascii="Calibri" w:hAnsi="Calibri"/>
                <w:sz w:val="22"/>
              </w:rPr>
              <w:t>~$181M ($151M underlying + ~$30M stock comp)</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FY 2026 New Restaurant Openings</w:t>
            </w:r>
          </w:p>
        </w:tc>
        <w:tc>
          <w:tcPr>
            <w:tcW w:type="dxa" w:w="1728"/>
          </w:tcPr>
          <w:p>
            <w:r>
              <w:rPr>
                <w:rFonts w:ascii="Calibri" w:hAnsi="Calibri"/>
                <w:sz w:val="22"/>
              </w:rPr>
              <w:t>~350 (US &amp; Canada); ~80% with Chipotlane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Middle East openings may be fewer than anticipated due to geopolitical conditions; Singapore pushed to 2027</w:t>
            </w:r>
          </w:p>
        </w:tc>
      </w:tr>
      <w:tr>
        <w:tc>
          <w:tcPr>
            <w:tcW w:type="dxa" w:w="1728"/>
          </w:tcPr>
          <w:p>
            <w:r>
              <w:rPr>
                <w:rFonts w:ascii="Calibri" w:hAnsi="Calibri"/>
                <w:sz w:val="22"/>
              </w:rPr>
              <w:t>FY 2026 Pricing</w:t>
            </w:r>
          </w:p>
        </w:tc>
        <w:tc>
          <w:tcPr>
            <w:tcW w:type="dxa" w:w="1728"/>
          </w:tcPr>
          <w:p>
            <w:r>
              <w:rPr>
                <w:rFonts w:ascii="Calibri" w:hAnsi="Calibri"/>
                <w:sz w:val="22"/>
              </w:rPr>
              <w:t>1%–2%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Q2 pricing ~1.5%</w:t>
            </w:r>
          </w:p>
        </w:tc>
      </w:tr>
      <w:tr>
        <w:tc>
          <w:tcPr>
            <w:tcW w:type="dxa" w:w="1728"/>
          </w:tcPr>
          <w:p>
            <w:r>
              <w:rPr>
                <w:rFonts w:ascii="Calibri" w:hAnsi="Calibri"/>
                <w:sz w:val="22"/>
              </w:rPr>
              <w:t>FY 2026 Cost of Sales Inflation</w:t>
            </w:r>
          </w:p>
        </w:tc>
        <w:tc>
          <w:tcPr>
            <w:tcW w:type="dxa" w:w="1728"/>
          </w:tcPr>
          <w:p>
            <w:r>
              <w:rPr>
                <w:rFonts w:ascii="Calibri" w:hAnsi="Calibri"/>
                <w:sz w:val="22"/>
              </w:rPr>
              <w:t>~4% full year; H2 steps down to low-to-mid single digits as beef lapped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Q2 is peak inflation quarter</w:t>
            </w:r>
          </w:p>
        </w:tc>
      </w:tr>
    </w:tbl>
    <w:p>
      <w:r>
        <w:rPr>
          <w:rFonts w:ascii="Calibri" w:hAnsi="Calibri"/>
          <w:b/>
          <w:color w:val="525866"/>
          <w:sz w:val="22"/>
        </w:rPr>
        <w:t xml:space="preserve">Management tone evolution: </w:t>
      </w:r>
      <w:r>
        <w:rPr>
          <w:rFonts w:ascii="Calibri" w:hAnsi="Calibri"/>
          <w:color w:val="525866"/>
          <w:sz w:val="22"/>
        </w:rPr>
        <w:t>The Q1 2026 call marked a clear shift from defensive to cautiously optimistic. CEO Scott Boatwright cited “early indications that our Recipe for Growth strategy has started to translate into real results,” while CFO Adam Rymer maintained conservative guidance “given the dynamic consumer environment, especially with the conflict in Iran and gas prices.” The deliberate decision to hold guidance below trending performance is consistent with prior quarters — management is building credibility by under-promising and over-delivering rather than raising the bar prematurely.</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essentially flat since the Q1 print — the Street has aligned to management’s conservative guidance rather than pricing in upside, which means any beat on comps or margins would be a genuine positive surprise rather than a consensus-chasing move.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Revenue — Q2 2026</w:t>
            </w:r>
          </w:p>
        </w:tc>
        <w:tc>
          <w:tcPr>
            <w:tcW w:type="dxa" w:w="1080"/>
          </w:tcPr>
          <w:p>
            <w:r>
              <w:rPr>
                <w:rFonts w:ascii="Calibri" w:hAnsi="Calibri"/>
                <w:sz w:val="22"/>
              </w:rPr>
              <w:t>$3.329B</w:t>
            </w:r>
          </w:p>
        </w:tc>
        <w:tc>
          <w:tcPr>
            <w:tcW w:type="dxa" w:w="1080"/>
          </w:tcPr>
          <w:p>
            <w:r>
              <w:rPr>
                <w:rFonts w:ascii="Calibri" w:hAnsi="Calibri"/>
                <w:sz w:val="22"/>
              </w:rPr>
              <w:t>$3.333B</w:t>
            </w:r>
          </w:p>
        </w:tc>
        <w:tc>
          <w:tcPr>
            <w:tcW w:type="dxa" w:w="1080"/>
          </w:tcPr>
          <w:p>
            <w:r>
              <w:rPr>
                <w:rFonts w:ascii="Calibri" w:hAnsi="Calibri"/>
                <w:sz w:val="22"/>
              </w:rPr>
              <w:t>+0.1%</w:t>
            </w:r>
          </w:p>
        </w:tc>
        <w:tc>
          <w:tcPr>
            <w:tcW w:type="dxa" w:w="1080"/>
          </w:tcPr>
          <w:p>
            <w:r>
              <w:rPr>
                <w:rFonts w:ascii="Calibri" w:hAnsi="Calibri"/>
                <w:sz w:val="22"/>
              </w:rPr>
              <w:t>N/A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Comp Sales % — Q2 2026</w:t>
            </w:r>
          </w:p>
        </w:tc>
        <w:tc>
          <w:tcPr>
            <w:tcW w:type="dxa" w:w="1080"/>
          </w:tcPr>
          <w:p>
            <w:r>
              <w:rPr>
                <w:rFonts w:ascii="Calibri" w:hAnsi="Calibri"/>
                <w:sz w:val="22"/>
              </w:rPr>
              <w:t>+1.32%</w:t>
            </w:r>
          </w:p>
        </w:tc>
        <w:tc>
          <w:tcPr>
            <w:tcW w:type="dxa" w:w="1080"/>
          </w:tcPr>
          <w:p>
            <w:r>
              <w:rPr>
                <w:rFonts w:ascii="Calibri" w:hAnsi="Calibri"/>
                <w:sz w:val="22"/>
              </w:rPr>
              <w:t>+1.37%</w:t>
            </w:r>
          </w:p>
        </w:tc>
        <w:tc>
          <w:tcPr>
            <w:tcW w:type="dxa" w:w="1080"/>
          </w:tcPr>
          <w:p>
            <w:r>
              <w:rPr>
                <w:rFonts w:ascii="Calibri" w:hAnsi="Calibri"/>
                <w:sz w:val="22"/>
              </w:rPr>
              <w:t>+4 bps</w:t>
            </w:r>
          </w:p>
        </w:tc>
        <w:tc>
          <w:tcPr>
            <w:tcW w:type="dxa" w:w="1080"/>
          </w:tcPr>
          <w:p>
            <w:r>
              <w:rPr>
                <w:rFonts w:ascii="Calibri" w:hAnsi="Calibri"/>
                <w:sz w:val="22"/>
              </w:rPr>
              <w:t>~+1%</w:t>
            </w:r>
          </w:p>
        </w:tc>
        <w:tc>
          <w:tcPr>
            <w:tcW w:type="dxa" w:w="1080"/>
          </w:tcPr>
          <w:p>
            <w:r>
              <w:rPr>
                <w:rFonts w:ascii="Calibri" w:hAnsi="Calibri"/>
                <w:sz w:val="22"/>
              </w:rPr>
              <w:t>~+1% (unchanged)</w:t>
            </w:r>
          </w:p>
        </w:tc>
        <w:tc>
          <w:tcPr>
            <w:tcW w:type="dxa" w:w="1080"/>
          </w:tcPr>
          <w:p>
            <w:r>
              <w:rPr>
                <w:rFonts w:ascii="Calibri" w:hAnsi="Calibri"/>
                <w:sz w:val="22"/>
              </w:rPr>
              <w:t>—</w:t>
            </w:r>
          </w:p>
        </w:tc>
        <w:tc>
          <w:tcPr>
            <w:tcW w:type="dxa" w:w="1080"/>
          </w:tcPr>
          <w:p>
            <w:r>
              <w:rPr>
                <w:rFonts w:ascii="Calibri" w:hAnsi="Calibri"/>
                <w:sz w:val="22"/>
              </w:rPr>
              <w:t>+~37 bps above guide</w:t>
            </w:r>
          </w:p>
        </w:tc>
      </w:tr>
      <w:tr>
        <w:tc>
          <w:tcPr>
            <w:tcW w:type="dxa" w:w="1080"/>
          </w:tcPr>
          <w:p>
            <w:r>
              <w:rPr>
                <w:rFonts w:ascii="Calibri" w:hAnsi="Calibri"/>
                <w:sz w:val="22"/>
              </w:rPr>
              <w:t>Traffic % — Q2 2026</w:t>
            </w:r>
          </w:p>
        </w:tc>
        <w:tc>
          <w:tcPr>
            <w:tcW w:type="dxa" w:w="1080"/>
          </w:tcPr>
          <w:p>
            <w:r>
              <w:rPr>
                <w:rFonts w:ascii="Calibri" w:hAnsi="Calibri"/>
                <w:sz w:val="22"/>
              </w:rPr>
              <w:t>+0.21%</w:t>
            </w:r>
          </w:p>
        </w:tc>
        <w:tc>
          <w:tcPr>
            <w:tcW w:type="dxa" w:w="1080"/>
          </w:tcPr>
          <w:p>
            <w:r>
              <w:rPr>
                <w:rFonts w:ascii="Calibri" w:hAnsi="Calibri"/>
                <w:sz w:val="22"/>
              </w:rPr>
              <w:t>+0.36%</w:t>
            </w:r>
          </w:p>
        </w:tc>
        <w:tc>
          <w:tcPr>
            <w:tcW w:type="dxa" w:w="1080"/>
          </w:tcPr>
          <w:p>
            <w:r>
              <w:rPr>
                <w:rFonts w:ascii="Calibri" w:hAnsi="Calibri"/>
                <w:sz w:val="22"/>
              </w:rPr>
              <w:t>+15 bps</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Restaurant-Level Margin % — Q2 2026</w:t>
            </w:r>
          </w:p>
        </w:tc>
        <w:tc>
          <w:tcPr>
            <w:tcW w:type="dxa" w:w="1080"/>
          </w:tcPr>
          <w:p>
            <w:r>
              <w:rPr>
                <w:rFonts w:ascii="Calibri" w:hAnsi="Calibri"/>
                <w:sz w:val="22"/>
              </w:rPr>
              <w:t>25.01%</w:t>
            </w:r>
          </w:p>
        </w:tc>
        <w:tc>
          <w:tcPr>
            <w:tcW w:type="dxa" w:w="1080"/>
          </w:tcPr>
          <w:p>
            <w:r>
              <w:rPr>
                <w:rFonts w:ascii="Calibri" w:hAnsi="Calibri"/>
                <w:sz w:val="22"/>
              </w:rPr>
              <w:t>25.01%</w:t>
            </w:r>
          </w:p>
        </w:tc>
        <w:tc>
          <w:tcPr>
            <w:tcW w:type="dxa" w:w="1080"/>
          </w:tcPr>
          <w:p>
            <w:r>
              <w:rPr>
                <w:rFonts w:ascii="Calibri" w:hAnsi="Calibri"/>
                <w:sz w:val="22"/>
              </w:rPr>
              <w:t>~0 bps</w:t>
            </w:r>
          </w:p>
        </w:tc>
        <w:tc>
          <w:tcPr>
            <w:tcW w:type="dxa" w:w="1080"/>
          </w:tcPr>
          <w:p>
            <w:r>
              <w:rPr>
                <w:rFonts w:ascii="Calibri" w:hAnsi="Calibri"/>
                <w:sz w:val="22"/>
              </w:rPr>
              <w:t>Implied ~24.5–25.0%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~flat to guide</w:t>
            </w:r>
          </w:p>
        </w:tc>
      </w:tr>
      <w:tr>
        <w:tc>
          <w:tcPr>
            <w:tcW w:type="dxa" w:w="1080"/>
          </w:tcPr>
          <w:p>
            <w:r>
              <w:rPr>
                <w:rFonts w:ascii="Calibri" w:hAnsi="Calibri"/>
                <w:sz w:val="22"/>
              </w:rPr>
              <w:t>Adj. EPS — Q2 2026</w:t>
            </w:r>
          </w:p>
        </w:tc>
        <w:tc>
          <w:tcPr>
            <w:tcW w:type="dxa" w:w="1080"/>
          </w:tcPr>
          <w:p>
            <w:r>
              <w:rPr>
                <w:rFonts w:ascii="Calibri" w:hAnsi="Calibri"/>
                <w:sz w:val="22"/>
              </w:rPr>
              <w:t>$0.319</w:t>
            </w:r>
          </w:p>
        </w:tc>
        <w:tc>
          <w:tcPr>
            <w:tcW w:type="dxa" w:w="1080"/>
          </w:tcPr>
          <w:p>
            <w:r>
              <w:rPr>
                <w:rFonts w:ascii="Calibri" w:hAnsi="Calibri"/>
                <w:sz w:val="22"/>
              </w:rPr>
              <w:t>$0.320</w:t>
            </w:r>
          </w:p>
        </w:tc>
        <w:tc>
          <w:tcPr>
            <w:tcW w:type="dxa" w:w="1080"/>
          </w:tcPr>
          <w:p>
            <w:r>
              <w:rPr>
                <w:rFonts w:ascii="Calibri" w:hAnsi="Calibri"/>
                <w:sz w:val="22"/>
              </w:rPr>
              <w:t>+0.3%</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$12.969B</w:t>
            </w:r>
          </w:p>
        </w:tc>
        <w:tc>
          <w:tcPr>
            <w:tcW w:type="dxa" w:w="1080"/>
          </w:tcPr>
          <w:p>
            <w:r>
              <w:rPr>
                <w:rFonts w:ascii="Calibri" w:hAnsi="Calibri"/>
                <w:sz w:val="22"/>
              </w:rPr>
              <w:t>$12.986B</w:t>
            </w:r>
          </w:p>
        </w:tc>
        <w:tc>
          <w:tcPr>
            <w:tcW w:type="dxa" w:w="1080"/>
          </w:tcPr>
          <w:p>
            <w:r>
              <w:rPr>
                <w:rFonts w:ascii="Calibri" w:hAnsi="Calibri"/>
                <w:sz w:val="22"/>
              </w:rPr>
              <w:t>+0.1%</w:t>
            </w:r>
          </w:p>
        </w:tc>
        <w:tc>
          <w:tcPr>
            <w:tcW w:type="dxa" w:w="1080"/>
          </w:tcPr>
          <w:p>
            <w:r>
              <w:rPr>
                <w:rFonts w:ascii="Calibri" w:hAnsi="Calibri"/>
                <w:sz w:val="22"/>
              </w:rPr>
              <w:t>N/A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Comp Sales % — FY 2026</w:t>
            </w:r>
          </w:p>
        </w:tc>
        <w:tc>
          <w:tcPr>
            <w:tcW w:type="dxa" w:w="1080"/>
          </w:tcPr>
          <w:p>
            <w:r>
              <w:rPr>
                <w:rFonts w:ascii="Calibri" w:hAnsi="Calibri"/>
                <w:sz w:val="22"/>
              </w:rPr>
              <w:t>+1.39%</w:t>
            </w:r>
          </w:p>
        </w:tc>
        <w:tc>
          <w:tcPr>
            <w:tcW w:type="dxa" w:w="1080"/>
          </w:tcPr>
          <w:p>
            <w:r>
              <w:rPr>
                <w:rFonts w:ascii="Calibri" w:hAnsi="Calibri"/>
                <w:sz w:val="22"/>
              </w:rPr>
              <w:t>+1.46%</w:t>
            </w:r>
          </w:p>
        </w:tc>
        <w:tc>
          <w:tcPr>
            <w:tcW w:type="dxa" w:w="1080"/>
          </w:tcPr>
          <w:p>
            <w:r>
              <w:rPr>
                <w:rFonts w:ascii="Calibri" w:hAnsi="Calibri"/>
                <w:sz w:val="22"/>
              </w:rPr>
              <w:t>+7 bps</w:t>
            </w:r>
          </w:p>
        </w:tc>
        <w:tc>
          <w:tcPr>
            <w:tcW w:type="dxa" w:w="1080"/>
          </w:tcPr>
          <w:p>
            <w:r>
              <w:rPr>
                <w:rFonts w:ascii="Calibri" w:hAnsi="Calibri"/>
                <w:sz w:val="22"/>
              </w:rPr>
              <w:t>~Flat</w:t>
            </w:r>
          </w:p>
        </w:tc>
        <w:tc>
          <w:tcPr>
            <w:tcW w:type="dxa" w:w="1080"/>
          </w:tcPr>
          <w:p>
            <w:r>
              <w:rPr>
                <w:rFonts w:ascii="Calibri" w:hAnsi="Calibri"/>
                <w:sz w:val="22"/>
              </w:rPr>
              <w:t>~Flat (unchanged)</w:t>
            </w:r>
          </w:p>
        </w:tc>
        <w:tc>
          <w:tcPr>
            <w:tcW w:type="dxa" w:w="1080"/>
          </w:tcPr>
          <w:p>
            <w:r>
              <w:rPr>
                <w:rFonts w:ascii="Calibri" w:hAnsi="Calibri"/>
                <w:sz w:val="22"/>
              </w:rPr>
              <w:t>—</w:t>
            </w:r>
          </w:p>
        </w:tc>
        <w:tc>
          <w:tcPr>
            <w:tcW w:type="dxa" w:w="1080"/>
          </w:tcPr>
          <w:p>
            <w:r>
              <w:rPr>
                <w:rFonts w:ascii="Calibri" w:hAnsi="Calibri"/>
                <w:sz w:val="22"/>
              </w:rPr>
              <w:t>+~146 bps above guide</w:t>
            </w:r>
          </w:p>
        </w:tc>
      </w:tr>
      <w:tr>
        <w:tc>
          <w:tcPr>
            <w:tcW w:type="dxa" w:w="1080"/>
          </w:tcPr>
          <w:p>
            <w:r>
              <w:rPr>
                <w:rFonts w:ascii="Calibri" w:hAnsi="Calibri"/>
                <w:sz w:val="22"/>
              </w:rPr>
              <w:t>Restaurant-Level Margin % — FY 2026</w:t>
            </w:r>
          </w:p>
        </w:tc>
        <w:tc>
          <w:tcPr>
            <w:tcW w:type="dxa" w:w="1080"/>
          </w:tcPr>
          <w:p>
            <w:r>
              <w:rPr>
                <w:rFonts w:ascii="Calibri" w:hAnsi="Calibri"/>
                <w:sz w:val="22"/>
              </w:rPr>
              <w:t>23.94%</w:t>
            </w:r>
          </w:p>
        </w:tc>
        <w:tc>
          <w:tcPr>
            <w:tcW w:type="dxa" w:w="1080"/>
          </w:tcPr>
          <w:p>
            <w:r>
              <w:rPr>
                <w:rFonts w:ascii="Calibri" w:hAnsi="Calibri"/>
                <w:sz w:val="22"/>
              </w:rPr>
              <w:t>23.90%</w:t>
            </w:r>
          </w:p>
        </w:tc>
        <w:tc>
          <w:tcPr>
            <w:tcW w:type="dxa" w:w="1080"/>
          </w:tcPr>
          <w:p>
            <w:r>
              <w:rPr>
                <w:rFonts w:ascii="Calibri" w:hAnsi="Calibri"/>
                <w:sz w:val="22"/>
              </w:rPr>
              <w:t>-4 bps</w:t>
            </w:r>
          </w:p>
        </w:tc>
        <w:tc>
          <w:tcPr>
            <w:tcW w:type="dxa" w:w="1080"/>
          </w:tcPr>
          <w:p>
            <w:r>
              <w:rPr>
                <w:rFonts w:ascii="Calibri" w:hAnsi="Calibri"/>
                <w:sz w:val="22"/>
              </w:rPr>
              <w:t>N/A (not explicitly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$1.133</w:t>
            </w:r>
          </w:p>
        </w:tc>
        <w:tc>
          <w:tcPr>
            <w:tcW w:type="dxa" w:w="1080"/>
          </w:tcPr>
          <w:p>
            <w:r>
              <w:rPr>
                <w:rFonts w:ascii="Calibri" w:hAnsi="Calibri"/>
                <w:sz w:val="22"/>
              </w:rPr>
              <w:t>$1.133</w:t>
            </w:r>
          </w:p>
        </w:tc>
        <w:tc>
          <w:tcPr>
            <w:tcW w:type="dxa" w:w="1080"/>
          </w:tcPr>
          <w:p>
            <w:r>
              <w:rPr>
                <w:rFonts w:ascii="Calibri" w:hAnsi="Calibri"/>
                <w:sz w:val="22"/>
              </w:rPr>
              <w:t>~0%</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Q1 print — virtually no revision in any direction across all key KPIs. This reflects the Street’s acceptance of management’s conservative flat-comp framework for FY 2026, with consensus sitting ~146 bps above the full-year guide on comps. The gap between consensus and guidance represents potential upside optionality if the “Recipe for Growth” initiatives (HEAT equipment, loyalty relaunch, LTO cadence) continue to gain traction, but the Street is not yet pricing in a guidance raise.</w:t>
      </w:r>
    </w:p>
    <w:p>
      <w:r>
        <w:rPr>
          <w:rFonts w:ascii="Calibri" w:hAnsi="Calibri"/>
          <w:i/>
          <w:color w:val="525866"/>
          <w:sz w:val="22"/>
        </w:rPr>
        <w:t>Source: Visible Alpha consensus and actuals data. Baseline as of May 6, 2026 (5 trading days post Q1 2026 earnings).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CMG has lagged the S&amp;P 500 since Q1 earnings (+1.6% vs. SPY +4.1% indexed), with the stock caught in a mid-June selloff that erased post-earnings gains — the underperformance is multiple-driven (de-rating from ~35x to ~33x forward P/E) rather than estimate-driven, as revisions have been flat, suggesting sentiment rather than fundamentals is the drag.</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CMG vs. SBUX vs. S&amp;P 500 (SPY) — Indexed to 100 at Q1 2026 Earnings (Apr 29, 2026). Sector ETF: SBUX used as a restaurant-sector peer proxy given direct competitive overlap in fast-casual/premium dining. Source: Stock Price Data.</w:t>
      </w:r>
    </w:p>
    <w:p>
      <w:r>
        <w:rPr>
          <w:rFonts w:ascii="Calibri" w:hAnsi="Calibri"/>
          <w:b/>
          <w:color w:val="525866"/>
          <w:sz w:val="22"/>
        </w:rPr>
        <w:t xml:space="preserve">Performance summary (Apr 29 – Jul 28, 2026): </w:t>
      </w:r>
      <w:r>
        <w:rPr>
          <w:rFonts w:ascii="Calibri" w:hAnsi="Calibri"/>
          <w:color w:val="525866"/>
          <w:sz w:val="22"/>
        </w:rPr>
        <w:t>CMG +1.6% | SBUX -2.3% | SPY +4.1% (all indexed). CMG rallied ~5–6% in the immediate aftermath of Q1 earnings on the positive transaction growth surprise, but gave back those gains through a mid-June selloff (stock touched ~$28–29 range in early June) before recovering to ~$33–34 by late July. The Morgan Stanley downgrade to Equal-Weight (June 3, PT cut to $37) and broader market rotation weighed on the stock, while the JPMorgan upgrade to Overweight (June 5) provided a partial offset. SBUX has underperformed CMG over the period, reflecting its own turnaround execution risk. The stock currently trades at approximately 33–35x forward P/E — a meaningful discount to its 5-year average of 45–50x — suggesting the market is in “show-me” mode and the multiple is unlikely to re-rate until comp and margin trajectory are more firmly established.</w:t>
      </w:r>
    </w:p>
    <w:p>
      <w:r>
        <w:br w:type="page"/>
      </w:r>
    </w:p>
    <w:p>
      <w:pPr>
        <w:pStyle w:val="Heading1"/>
        <w:pBdr>
          <w:bottom w:val="single" w:sz="4" w:space="1" w:color="FB9120"/>
        </w:pBdr>
      </w:pPr>
      <w:r>
        <w:rPr>
          <w:rFonts w:ascii="Calibri" w:hAnsi="Calibri"/>
          <w:b/>
          <w:color w:val="3B4259"/>
          <w:sz w:val="40"/>
        </w:rPr>
        <w:t>6. Peer Commentaries — Q2 2026 Read-Throughs</w:t>
      </w:r>
    </w:p>
    <w:p>
      <w:r>
        <w:rPr>
          <w:rFonts w:ascii="Calibri" w:hAnsi="Calibri"/>
          <w:b/>
          <w:color w:val="525866"/>
          <w:sz w:val="22"/>
        </w:rPr>
        <w:t xml:space="preserve">Key Takeaway: </w:t>
      </w:r>
      <w:r>
        <w:rPr>
          <w:rFonts w:ascii="Calibri" w:hAnsi="Calibri"/>
          <w:color w:val="525866"/>
          <w:sz w:val="22"/>
        </w:rPr>
        <w:t>Peer commentary from the last 60 days paints a mixed but directionally constructive picture for CMG’s Q2: industry traffic remains under pressure but share-gainers (TXRH, MCD, DRI) are posting positive comps, beef inflation is universally flagged as a Q2 peak with H2 relief expected, and the consumer is resilient at premium/value-oriented concepts while the low-income cohort remains stressed. These read-throughs support CMG’s guided ~+1% comp but do not suggest meaningful upside surprise.</w:t>
      </w:r>
    </w:p>
    <w:p>
      <w:pPr>
        <w:pStyle w:val="Heading2"/>
      </w:pPr>
      <w:r>
        <w:rPr>
          <w:rFonts w:ascii="Calibri" w:hAnsi="Calibri"/>
          <w:b/>
          <w:color w:val="3B4259"/>
          <w:sz w:val="28"/>
        </w:rPr>
        <w:t>Darden Restaurants (DRI) — Q4 FY2026 Earnings (June 25, 2026)</w:t>
      </w:r>
    </w:p>
    <w:p>
      <w:r>
        <w:rPr>
          <w:rFonts w:ascii="Calibri" w:hAnsi="Calibri"/>
          <w:b/>
          <w:color w:val="525866"/>
          <w:sz w:val="22"/>
        </w:rPr>
        <w:t xml:space="preserve">Relevance: </w:t>
      </w:r>
      <w:r>
        <w:rPr>
          <w:rFonts w:ascii="Calibri" w:hAnsi="Calibri"/>
          <w:color w:val="525866"/>
          <w:sz w:val="22"/>
        </w:rPr>
        <w:t>DRI is the most directly relevant read-through as it reported its fiscal Q4 (calendar Q2 2026) results on June 25 — the same calendar quarter CMG is reporting. DRI’s results cover the full April–June period.</w:t>
      </w:r>
    </w:p>
    <w:p>
      <w:pPr>
        <w:pStyle w:val="ListBullet"/>
        <w:ind w:left="360" w:hanging="360"/>
      </w:pPr>
      <w:r>
        <w:rPr>
          <w:rFonts w:ascii="Calibri" w:hAnsi="Calibri"/>
          <w:b/>
          <w:color w:val="525866"/>
          <w:sz w:val="22"/>
        </w:rPr>
        <w:t xml:space="preserve">Industry traffic still negative, but share-gainers outperform: </w:t>
      </w:r>
      <w:r>
        <w:rPr>
          <w:rFonts w:ascii="Calibri" w:hAnsi="Calibri"/>
          <w:color w:val="525866"/>
          <w:sz w:val="22"/>
        </w:rPr>
        <w:t xml:space="preserve">Black Box Casual Dining benchmark (ex-DRI) showed same-restaurant sales +1.4% but guest counts -1.8% in Q4 FY2026 (calendar Q2 2026). DRI outperformed by 300+ bps on both metrics, with Olive Garden +2.4% comps and Longhorn +9.5% comps. </w:t>
      </w:r>
      <w:r>
        <w:rPr>
          <w:rFonts w:ascii="Calibri" w:hAnsi="Calibri"/>
          <w:b/>
          <w:color w:val="525866"/>
          <w:sz w:val="22"/>
        </w:rPr>
        <w:t xml:space="preserve">Read-through: </w:t>
      </w:r>
      <w:r>
        <w:rPr>
          <w:rFonts w:ascii="Calibri" w:hAnsi="Calibri"/>
          <w:color w:val="525866"/>
          <w:sz w:val="22"/>
        </w:rPr>
        <w:t>Industry traffic is still negative, but premium/value concepts with strong execution are taking share — consistent with CMG’s guided ~+1% comp being achievable.</w:t>
      </w:r>
    </w:p>
    <w:p>
      <w:pPr>
        <w:pStyle w:val="ListBullet"/>
        <w:ind w:left="360" w:hanging="360"/>
      </w:pPr>
      <w:r>
        <w:rPr>
          <w:rFonts w:ascii="Calibri" w:hAnsi="Calibri"/>
          <w:b/>
          <w:color w:val="525866"/>
          <w:sz w:val="22"/>
        </w:rPr>
        <w:t xml:space="preserve">Consumer spending resilient but cautious: </w:t>
      </w:r>
      <w:r>
        <w:rPr>
          <w:rFonts w:ascii="Calibri" w:hAnsi="Calibri"/>
          <w:color w:val="525866"/>
          <w:sz w:val="22"/>
        </w:rPr>
        <w:t xml:space="preserve">DRI noted “consumer spending remains pretty resilient” but “the mood with consumers is still a little cautious.” All income cohorts visited more YoY, including the bottom quintile (possibly aided by tax refunds), but “a little softness in guests under 35” was flagged, with unemployment highest in the 20–25 age group. </w:t>
      </w:r>
      <w:r>
        <w:rPr>
          <w:rFonts w:ascii="Calibri" w:hAnsi="Calibri"/>
          <w:b/>
          <w:color w:val="525866"/>
          <w:sz w:val="22"/>
        </w:rPr>
        <w:t xml:space="preserve">Read-through: </w:t>
      </w:r>
      <w:r>
        <w:rPr>
          <w:rFonts w:ascii="Calibri" w:hAnsi="Calibri"/>
          <w:color w:val="525866"/>
          <w:sz w:val="22"/>
        </w:rPr>
        <w:t>CMG’s younger demographic skew (a key loyalty target) may face some headwind, but the broad-based resilience is supportive of CMG’s traffic recovery narrative.</w:t>
      </w:r>
    </w:p>
    <w:p>
      <w:pPr>
        <w:pStyle w:val="ListBullet"/>
        <w:ind w:left="360" w:hanging="360"/>
      </w:pPr>
      <w:r>
        <w:rPr>
          <w:rFonts w:ascii="Calibri" w:hAnsi="Calibri"/>
          <w:b/>
          <w:color w:val="525866"/>
          <w:sz w:val="22"/>
        </w:rPr>
        <w:t xml:space="preserve">Beef inflation at peak in Q2, relief in H2: </w:t>
      </w:r>
      <w:r>
        <w:rPr>
          <w:rFonts w:ascii="Calibri" w:hAnsi="Calibri"/>
          <w:color w:val="525866"/>
          <w:sz w:val="22"/>
        </w:rPr>
        <w:t xml:space="preserve">DRI guided FY2027 beef inflation at “low single digits” for the full year, with Q1 FY2027 (calendar Q3 2026) at “mid-to-high single digit” before “slight deflation in Q2 FY2027.” Retail beef volume declined 8.5%, with consumers trading to pork and chicken. </w:t>
      </w:r>
      <w:r>
        <w:rPr>
          <w:rFonts w:ascii="Calibri" w:hAnsi="Calibri"/>
          <w:b/>
          <w:color w:val="525866"/>
          <w:sz w:val="22"/>
        </w:rPr>
        <w:t xml:space="preserve">Read-through: </w:t>
      </w:r>
      <w:r>
        <w:rPr>
          <w:rFonts w:ascii="Calibri" w:hAnsi="Calibri"/>
          <w:color w:val="525866"/>
          <w:sz w:val="22"/>
        </w:rPr>
        <w:t>Beef cost pressure is real and peaking in calendar Q2 2026, consistent with CMG’s guided ~30% cost of sales for Q2. H2 relief is expected, supporting CMG’s full-year ~4% food cost inflation guide.</w:t>
      </w:r>
    </w:p>
    <w:p>
      <w:pPr>
        <w:pStyle w:val="ListBullet"/>
        <w:ind w:left="360" w:hanging="360"/>
      </w:pPr>
      <w:r>
        <w:rPr>
          <w:rFonts w:ascii="Calibri" w:hAnsi="Calibri"/>
          <w:b/>
          <w:color w:val="525866"/>
          <w:sz w:val="22"/>
        </w:rPr>
        <w:t xml:space="preserve">Pricing below inflation is the industry playbook: </w:t>
      </w:r>
      <w:r>
        <w:rPr>
          <w:rFonts w:ascii="Calibri" w:hAnsi="Calibri"/>
          <w:color w:val="525866"/>
          <w:sz w:val="22"/>
        </w:rPr>
        <w:t xml:space="preserve">DRI took 3.8% blended pricing in Q4 FY2026 (Olive Garden 2.8%, Longhorn 5.3–5.4%) while commodity inflation was ~3%. DRI explicitly described “a measured approach pricing below inflation over time to preserve our value proposition.” </w:t>
      </w:r>
      <w:r>
        <w:rPr>
          <w:rFonts w:ascii="Calibri" w:hAnsi="Calibri"/>
          <w:b/>
          <w:color w:val="525866"/>
          <w:sz w:val="22"/>
        </w:rPr>
        <w:t xml:space="preserve">Read-through: </w:t>
      </w:r>
      <w:r>
        <w:rPr>
          <w:rFonts w:ascii="Calibri" w:hAnsi="Calibri"/>
          <w:color w:val="525866"/>
          <w:sz w:val="22"/>
        </w:rPr>
        <w:t>CMG’s ~1.5% pricing vs. mid-single-digit food cost inflation is consistent with the industry’s deliberate value-preservation strategy, validating management’s approach.</w:t>
      </w:r>
    </w:p>
    <w:p>
      <w:pPr>
        <w:pStyle w:val="ListBullet"/>
        <w:ind w:left="360" w:hanging="360"/>
      </w:pPr>
      <w:r>
        <w:rPr>
          <w:rFonts w:ascii="Calibri" w:hAnsi="Calibri"/>
          <w:b/>
          <w:color w:val="525866"/>
          <w:sz w:val="22"/>
        </w:rPr>
        <w:t xml:space="preserve">Catering as a growth driver: </w:t>
      </w:r>
      <w:r>
        <w:rPr>
          <w:rFonts w:ascii="Calibri" w:hAnsi="Calibri"/>
          <w:color w:val="525866"/>
          <w:sz w:val="22"/>
        </w:rPr>
        <w:t xml:space="preserve">Olive Garden’s catering contributed ~50 bps to traffic in Q4. </w:t>
      </w:r>
      <w:r>
        <w:rPr>
          <w:rFonts w:ascii="Calibri" w:hAnsi="Calibri"/>
          <w:b/>
          <w:color w:val="525866"/>
          <w:sz w:val="22"/>
        </w:rPr>
        <w:t xml:space="preserve">Read-through: </w:t>
      </w:r>
      <w:r>
        <w:rPr>
          <w:rFonts w:ascii="Calibri" w:hAnsi="Calibri"/>
          <w:color w:val="525866"/>
          <w:sz w:val="22"/>
        </w:rPr>
        <w:t>CMG’s catering pilot (expanded from Chicago to Boston, with broad rollout toward year-end) represents a similar incremental traffic opportunity that is not yet fully in consensus.</w:t>
      </w:r>
    </w:p>
    <w:p>
      <w:pPr>
        <w:pStyle w:val="Heading2"/>
      </w:pPr>
      <w:r>
        <w:rPr>
          <w:rFonts w:ascii="Calibri" w:hAnsi="Calibri"/>
          <w:b/>
          <w:color w:val="3B4259"/>
          <w:sz w:val="28"/>
        </w:rPr>
        <w:t>Shake Shack (SHAK) — Multiple Conferences (June 2–8, 2026)</w:t>
      </w:r>
    </w:p>
    <w:p>
      <w:r>
        <w:rPr>
          <w:rFonts w:ascii="Calibri" w:hAnsi="Calibri"/>
          <w:b/>
          <w:color w:val="525866"/>
          <w:sz w:val="22"/>
        </w:rPr>
        <w:t xml:space="preserve">Relevance: </w:t>
      </w:r>
      <w:r>
        <w:rPr>
          <w:rFonts w:ascii="Calibri" w:hAnsi="Calibri"/>
          <w:color w:val="525866"/>
          <w:sz w:val="22"/>
        </w:rPr>
        <w:t>SHAK is a direct fast-casual peer operating in the same calendar Q2 2026 period. Management provided real-time Q2 commentary at TD Cowen (June 2), William Blair (June 4), and Oppenheimer (June 8) conferences.</w:t>
      </w:r>
    </w:p>
    <w:p>
      <w:pPr>
        <w:pStyle w:val="ListBullet"/>
        <w:ind w:left="360" w:hanging="360"/>
      </w:pPr>
      <w:r>
        <w:rPr>
          <w:rFonts w:ascii="Calibri" w:hAnsi="Calibri"/>
          <w:b/>
          <w:color w:val="525866"/>
          <w:sz w:val="22"/>
        </w:rPr>
        <w:t xml:space="preserve">Q2 comp guidance of +2.5–3.0% with April at -0.6%: </w:t>
      </w:r>
      <w:r>
        <w:rPr>
          <w:rFonts w:ascii="Calibri" w:hAnsi="Calibri"/>
          <w:color w:val="525866"/>
          <w:sz w:val="22"/>
        </w:rPr>
        <w:t xml:space="preserve">SHAK reported April comps of -0.6% but guided Q2 to +2.5–3.0%, implying May/June acceleration to ~+4%. The April softness was described as “a blip” vs. the +4–5% run rate in Jan–March. </w:t>
      </w:r>
      <w:r>
        <w:rPr>
          <w:rFonts w:ascii="Calibri" w:hAnsi="Calibri"/>
          <w:b/>
          <w:color w:val="525866"/>
          <w:sz w:val="22"/>
        </w:rPr>
        <w:t xml:space="preserve">Read-through: </w:t>
      </w:r>
      <w:r>
        <w:rPr>
          <w:rFonts w:ascii="Calibri" w:hAnsi="Calibri"/>
          <w:color w:val="525866"/>
          <w:sz w:val="22"/>
        </w:rPr>
        <w:t>April softness at SHAK is consistent with CMG’s cautious Q2 guide, but the May/June acceleration SHAK is targeting suggests the consumer environment improved through the quarter — a mild positive for CMG’s ability to hit or beat its ~+1% Q2 comp.</w:t>
      </w:r>
    </w:p>
    <w:p>
      <w:pPr>
        <w:pStyle w:val="ListBullet"/>
        <w:ind w:left="360" w:hanging="360"/>
      </w:pPr>
      <w:r>
        <w:rPr>
          <w:rFonts w:ascii="Calibri" w:hAnsi="Calibri"/>
          <w:b/>
          <w:color w:val="525866"/>
          <w:sz w:val="22"/>
        </w:rPr>
        <w:t xml:space="preserve">Beef at all-time highs in June, Q2 is peak: </w:t>
      </w:r>
      <w:r>
        <w:rPr>
          <w:rFonts w:ascii="Calibri" w:hAnsi="Calibri"/>
          <w:color w:val="525866"/>
          <w:sz w:val="22"/>
        </w:rPr>
        <w:t xml:space="preserve">SHAK flagged June 2026 as “the highest beef prices we’ve ever seen,” with beef inflation in the high-teens and beef representing ~30% of the commodity basket. SHAK cut full-year restaurant margin guidance from 23–23.5% to 22–23% specifically due to beef. </w:t>
      </w:r>
      <w:r>
        <w:rPr>
          <w:rFonts w:ascii="Calibri" w:hAnsi="Calibri"/>
          <w:b/>
          <w:color w:val="525866"/>
          <w:sz w:val="22"/>
        </w:rPr>
        <w:t xml:space="preserve">Read-through: </w:t>
      </w:r>
      <w:r>
        <w:rPr>
          <w:rFonts w:ascii="Calibri" w:hAnsi="Calibri"/>
          <w:color w:val="525866"/>
          <w:sz w:val="22"/>
        </w:rPr>
        <w:t>Directly validates CMG’s guided ~30% cost of sales for Q2 and the mid-single-digit food cost inflation assumption. No upside surprise on food costs is likely in Q2.</w:t>
      </w:r>
    </w:p>
    <w:p>
      <w:pPr>
        <w:pStyle w:val="ListBullet"/>
        <w:ind w:left="360" w:hanging="360"/>
      </w:pPr>
      <w:r>
        <w:rPr>
          <w:rFonts w:ascii="Calibri" w:hAnsi="Calibri"/>
          <w:b/>
          <w:color w:val="525866"/>
          <w:sz w:val="22"/>
        </w:rPr>
        <w:t xml:space="preserve">Traffic growth achievable without heavy pricing: </w:t>
      </w:r>
      <w:r>
        <w:rPr>
          <w:rFonts w:ascii="Calibri" w:hAnsi="Calibri"/>
          <w:color w:val="525866"/>
          <w:sz w:val="22"/>
        </w:rPr>
        <w:t xml:space="preserve">SHAK achieved three consecutive quarters of positive traffic growth while taking “less pricing than in any of the three years prior.” Digital promotions (1-3-5 / 2-4-6 app program) drove 30%+ traffic growth in the app channel. </w:t>
      </w:r>
      <w:r>
        <w:rPr>
          <w:rFonts w:ascii="Calibri" w:hAnsi="Calibri"/>
          <w:b/>
          <w:color w:val="525866"/>
          <w:sz w:val="22"/>
        </w:rPr>
        <w:t xml:space="preserve">Read-through: </w:t>
      </w:r>
      <w:r>
        <w:rPr>
          <w:rFonts w:ascii="Calibri" w:hAnsi="Calibri"/>
          <w:color w:val="525866"/>
          <w:sz w:val="22"/>
        </w:rPr>
        <w:t>Supports CMG’s thesis that loyalty/digital engagement (rewards relaunch, HEAT equipment) can drive traffic without relying on pricing — a key pillar of the “Recipe for Growth” strategy.</w:t>
      </w:r>
    </w:p>
    <w:p>
      <w:pPr>
        <w:pStyle w:val="ListBullet"/>
        <w:ind w:left="360" w:hanging="360"/>
      </w:pPr>
      <w:r>
        <w:rPr>
          <w:rFonts w:ascii="Calibri" w:hAnsi="Calibri"/>
          <w:b/>
          <w:color w:val="525866"/>
          <w:sz w:val="22"/>
        </w:rPr>
        <w:t xml:space="preserve">Tourism softness in NYC/major cities: </w:t>
      </w:r>
      <w:r>
        <w:rPr>
          <w:rFonts w:ascii="Calibri" w:hAnsi="Calibri"/>
          <w:color w:val="525866"/>
          <w:sz w:val="22"/>
        </w:rPr>
        <w:t xml:space="preserve">SHAK removed World Cup tourism benefit from guidance after observing “tourism numbers that have slowed down over the last 3–4 weeks” in major cities. Fuel surcharges also flagged as an incremental cost headwind. </w:t>
      </w:r>
      <w:r>
        <w:rPr>
          <w:rFonts w:ascii="Calibri" w:hAnsi="Calibri"/>
          <w:b/>
          <w:color w:val="525866"/>
          <w:sz w:val="22"/>
        </w:rPr>
        <w:t xml:space="preserve">Read-through: </w:t>
      </w:r>
      <w:r>
        <w:rPr>
          <w:rFonts w:ascii="Calibri" w:hAnsi="Calibri"/>
          <w:color w:val="525866"/>
          <w:sz w:val="22"/>
        </w:rPr>
        <w:t>CMG has meaningful urban/high-traffic-area exposure; any tourism softness in Q2 could be a modest headwind to urban restaurant comps, though CMG’s suburban/Chipotlane mix provides some insulation.</w:t>
      </w:r>
    </w:p>
    <w:p>
      <w:pPr>
        <w:pStyle w:val="Heading2"/>
      </w:pPr>
      <w:r>
        <w:rPr>
          <w:rFonts w:ascii="Calibri" w:hAnsi="Calibri"/>
          <w:b/>
          <w:color w:val="3B4259"/>
          <w:sz w:val="28"/>
        </w:rPr>
        <w:t>Starbucks (SBUX) — Bernstein Conference (May 28) &amp; Evercore Conference (June 9, 2026)</w:t>
      </w:r>
    </w:p>
    <w:p>
      <w:r>
        <w:rPr>
          <w:rFonts w:ascii="Calibri" w:hAnsi="Calibri"/>
          <w:b/>
          <w:color w:val="525866"/>
          <w:sz w:val="22"/>
        </w:rPr>
        <w:t xml:space="preserve">Relevance: </w:t>
      </w:r>
      <w:r>
        <w:rPr>
          <w:rFonts w:ascii="Calibri" w:hAnsi="Calibri"/>
          <w:color w:val="525866"/>
          <w:sz w:val="22"/>
        </w:rPr>
        <w:t>SBUX is a premium consumer brand in a similar “experience-driven” positioning to CMG, with overlapping younger/millennial demographics. SBUX’s turnaround commentary provides read-through on consumer willingness to pay for premium experiences.</w:t>
      </w:r>
    </w:p>
    <w:p>
      <w:pPr>
        <w:pStyle w:val="ListBullet"/>
        <w:ind w:left="360" w:hanging="360"/>
      </w:pPr>
      <w:r>
        <w:rPr>
          <w:rFonts w:ascii="Calibri" w:hAnsi="Calibri"/>
          <w:b/>
          <w:color w:val="525866"/>
          <w:sz w:val="22"/>
        </w:rPr>
        <w:t xml:space="preserve">7% U.S. comp in fiscal Q2 (calendar Q1 2026) with traffic growth across all income cohorts: </w:t>
      </w:r>
      <w:r>
        <w:rPr>
          <w:rFonts w:ascii="Calibri" w:hAnsi="Calibri"/>
          <w:color w:val="525866"/>
          <w:sz w:val="22"/>
        </w:rPr>
        <w:t xml:space="preserve">SBUX reported a significant acceleration, with U.S. same-store sales at +7% and transactions growing across all income demographics. Management described this as “the start of a durable sales recovery.” </w:t>
      </w:r>
      <w:r>
        <w:rPr>
          <w:rFonts w:ascii="Calibri" w:hAnsi="Calibri"/>
          <w:b/>
          <w:color w:val="525866"/>
          <w:sz w:val="22"/>
        </w:rPr>
        <w:t xml:space="preserve">Read-through: </w:t>
      </w:r>
      <w:r>
        <w:rPr>
          <w:rFonts w:ascii="Calibri" w:hAnsi="Calibri"/>
          <w:color w:val="525866"/>
          <w:sz w:val="22"/>
        </w:rPr>
        <w:t>Broad-based consumer engagement at premium price points is intact — supportive of CMG’s Q1 observation that traffic improved “across all ages and all income cohorts.”</w:t>
      </w:r>
    </w:p>
    <w:p>
      <w:pPr>
        <w:pStyle w:val="ListBullet"/>
        <w:ind w:left="360" w:hanging="360"/>
      </w:pPr>
      <w:r>
        <w:rPr>
          <w:rFonts w:ascii="Calibri" w:hAnsi="Calibri"/>
          <w:b/>
          <w:color w:val="525866"/>
          <w:sz w:val="22"/>
        </w:rPr>
        <w:t xml:space="preserve">Low-income consumer under stress but experience-driven spending is resilient: </w:t>
      </w:r>
      <w:r>
        <w:rPr>
          <w:rFonts w:ascii="Calibri" w:hAnsi="Calibri"/>
          <w:color w:val="525866"/>
          <w:sz w:val="22"/>
        </w:rPr>
        <w:t xml:space="preserve">SBUX noted “the low-income consumer is under more stress than they ever have been” but emphasized that “experience and customization” creates a point of difference that justifies spending. Customers who feel the experience is “well worth it” are harder to trade out. </w:t>
      </w:r>
      <w:r>
        <w:rPr>
          <w:rFonts w:ascii="Calibri" w:hAnsi="Calibri"/>
          <w:b/>
          <w:color w:val="525866"/>
          <w:sz w:val="22"/>
        </w:rPr>
        <w:t xml:space="preserve">Read-through: </w:t>
      </w:r>
      <w:r>
        <w:rPr>
          <w:rFonts w:ascii="Calibri" w:hAnsi="Calibri"/>
          <w:color w:val="525866"/>
          <w:sz w:val="22"/>
        </w:rPr>
        <w:t>CMG’s “Food With Integrity” positioning and 20–30% discount to fast-casual peers provides a similar value-experience justification, supporting traffic resilience even in a stressed consumer environment.</w:t>
      </w:r>
    </w:p>
    <w:p>
      <w:pPr>
        <w:pStyle w:val="ListBullet"/>
        <w:ind w:left="360" w:hanging="360"/>
      </w:pPr>
      <w:r>
        <w:rPr>
          <w:rFonts w:ascii="Calibri" w:hAnsi="Calibri"/>
          <w:b/>
          <w:color w:val="525866"/>
          <w:sz w:val="22"/>
        </w:rPr>
        <w:t xml:space="preserve">Loyalty relaunch driving frequency and enrollment: </w:t>
      </w:r>
      <w:r>
        <w:rPr>
          <w:rFonts w:ascii="Calibri" w:hAnsi="Calibri"/>
          <w:color w:val="525866"/>
          <w:sz w:val="22"/>
        </w:rPr>
        <w:t xml:space="preserve">SBUX’s rewards relaunch drove membership to 35.6M (an uptick vs. prior), with “Mod Monday” promotions driving 40% increase in Cold Foam mix. </w:t>
      </w:r>
      <w:r>
        <w:rPr>
          <w:rFonts w:ascii="Calibri" w:hAnsi="Calibri"/>
          <w:b/>
          <w:color w:val="525866"/>
          <w:sz w:val="22"/>
        </w:rPr>
        <w:t xml:space="preserve">Read-through: </w:t>
      </w:r>
      <w:r>
        <w:rPr>
          <w:rFonts w:ascii="Calibri" w:hAnsi="Calibri"/>
          <w:color w:val="525866"/>
          <w:sz w:val="22"/>
        </w:rPr>
        <w:t>CMG’s own rewards relaunch (“Summer of Extras” / “Rewards on Repeat”) drove a ~25% increase in daily enrollees in Q1 — SBUX’s experience suggests loyalty relaunches can sustain momentum into Q2 and beyond.</w:t>
      </w:r>
    </w:p>
    <w:p>
      <w:pPr>
        <w:pStyle w:val="ListBullet"/>
        <w:ind w:left="360" w:hanging="360"/>
      </w:pPr>
      <w:r>
        <w:rPr>
          <w:rFonts w:ascii="Calibri" w:hAnsi="Calibri"/>
          <w:b/>
          <w:color w:val="525866"/>
          <w:sz w:val="22"/>
        </w:rPr>
        <w:t xml:space="preserve">Afternoon daypart opportunity: </w:t>
      </w:r>
      <w:r>
        <w:rPr>
          <w:rFonts w:ascii="Calibri" w:hAnsi="Calibri"/>
          <w:color w:val="525866"/>
          <w:sz w:val="22"/>
        </w:rPr>
        <w:t xml:space="preserve">SBUX is targeting a “second peak around 2–5pm” with drinks and food attachments. </w:t>
      </w:r>
      <w:r>
        <w:rPr>
          <w:rFonts w:ascii="Calibri" w:hAnsi="Calibri"/>
          <w:b/>
          <w:color w:val="525866"/>
          <w:sz w:val="22"/>
        </w:rPr>
        <w:t xml:space="preserve">Read-through: </w:t>
      </w:r>
      <w:r>
        <w:rPr>
          <w:rFonts w:ascii="Calibri" w:hAnsi="Calibri"/>
          <w:color w:val="525866"/>
          <w:sz w:val="22"/>
        </w:rPr>
        <w:t>CMG’s happy hour taco test (discounted tacos 2–5pm in select markets) is pursuing the same shoulder-hour opportunity — SBUX’s success in this daypart would validate the strategy.</w:t>
      </w:r>
    </w:p>
    <w:p>
      <w:pPr>
        <w:pStyle w:val="Heading2"/>
      </w:pPr>
      <w:r>
        <w:rPr>
          <w:rFonts w:ascii="Calibri" w:hAnsi="Calibri"/>
          <w:b/>
          <w:color w:val="3B4259"/>
          <w:sz w:val="28"/>
        </w:rPr>
        <w:t>McDonald’s (MCD) — Q1 2026 Earnings (May 7, 2026)</w:t>
      </w:r>
    </w:p>
    <w:p>
      <w:r>
        <w:rPr>
          <w:rFonts w:ascii="Calibri" w:hAnsi="Calibri"/>
          <w:b/>
          <w:color w:val="525866"/>
          <w:sz w:val="22"/>
        </w:rPr>
        <w:t xml:space="preserve">Relevance: </w:t>
      </w:r>
      <w:r>
        <w:rPr>
          <w:rFonts w:ascii="Calibri" w:hAnsi="Calibri"/>
          <w:color w:val="525866"/>
          <w:sz w:val="22"/>
        </w:rPr>
        <w:t>MCD is the largest QSR operator and a bellwether for industry traffic trends. Its Q1 2026 results and Q2 commentary cover the April period and provide context on the broader consumer environment.</w:t>
      </w:r>
    </w:p>
    <w:p>
      <w:pPr>
        <w:pStyle w:val="ListBullet"/>
        <w:ind w:left="360" w:hanging="360"/>
      </w:pPr>
      <w:r>
        <w:rPr>
          <w:rFonts w:ascii="Calibri" w:hAnsi="Calibri"/>
          <w:b/>
          <w:color w:val="525866"/>
          <w:sz w:val="22"/>
        </w:rPr>
        <w:t xml:space="preserve">U.S. comps +3.9% in Q1, but April was “slightly negative”: </w:t>
      </w:r>
      <w:r>
        <w:rPr>
          <w:rFonts w:ascii="Calibri" w:hAnsi="Calibri"/>
          <w:color w:val="525866"/>
          <w:sz w:val="22"/>
        </w:rPr>
        <w:t xml:space="preserve">MCD guided Q2 to a “meaningful deceleration” from Q1’s 3.9% due to a difficult Minecraft comp from prior year, with April comps slightly negative as planned. Management expected May/June to recover with McValue 2.0 and FIFA World Cup tailwinds. </w:t>
      </w:r>
      <w:r>
        <w:rPr>
          <w:rFonts w:ascii="Calibri" w:hAnsi="Calibri"/>
          <w:b/>
          <w:color w:val="525866"/>
          <w:sz w:val="22"/>
        </w:rPr>
        <w:t xml:space="preserve">Read-through: </w:t>
      </w:r>
      <w:r>
        <w:rPr>
          <w:rFonts w:ascii="Calibri" w:hAnsi="Calibri"/>
          <w:color w:val="525866"/>
          <w:sz w:val="22"/>
        </w:rPr>
        <w:t>April softness at MCD is consistent with CMG’s cautious Q2 guide. The FIFA/World Cup tailwind MCD cited is a potential incremental positive for CMG’s urban locations in World Cup cities.</w:t>
      </w:r>
    </w:p>
    <w:p>
      <w:pPr>
        <w:pStyle w:val="ListBullet"/>
        <w:ind w:left="360" w:hanging="360"/>
      </w:pPr>
      <w:r>
        <w:rPr>
          <w:rFonts w:ascii="Calibri" w:hAnsi="Calibri"/>
          <w:b/>
          <w:color w:val="525866"/>
          <w:sz w:val="22"/>
        </w:rPr>
        <w:t xml:space="preserve">Low-income consumer “absolutely still declining”: </w:t>
      </w:r>
      <w:r>
        <w:rPr>
          <w:rFonts w:ascii="Calibri" w:hAnsi="Calibri"/>
          <w:color w:val="525866"/>
          <w:sz w:val="22"/>
        </w:rPr>
        <w:t xml:space="preserve">MCD noted the low-income segment is still declining, though “not as pronounced as 6–12 months ago.” Elevated gas prices are “the core issue” disproportionately impacting low-income consumers. </w:t>
      </w:r>
      <w:r>
        <w:rPr>
          <w:rFonts w:ascii="Calibri" w:hAnsi="Calibri"/>
          <w:b/>
          <w:color w:val="525866"/>
          <w:sz w:val="22"/>
        </w:rPr>
        <w:t xml:space="preserve">Read-through: </w:t>
      </w:r>
      <w:r>
        <w:rPr>
          <w:rFonts w:ascii="Calibri" w:hAnsi="Calibri"/>
          <w:color w:val="525866"/>
          <w:sz w:val="22"/>
        </w:rPr>
        <w:t>CMG’s deliberate pricing below inflation (1.5% vs. mid-single-digit food cost inflation) is the right strategic response to protect its value proposition with price-sensitive consumers, consistent with MCD’s own McValue investment.</w:t>
      </w:r>
    </w:p>
    <w:p>
      <w:pPr>
        <w:pStyle w:val="ListBullet"/>
        <w:ind w:left="360" w:hanging="360"/>
      </w:pPr>
      <w:r>
        <w:rPr>
          <w:rFonts w:ascii="Calibri" w:hAnsi="Calibri"/>
          <w:b/>
          <w:color w:val="525866"/>
          <w:sz w:val="22"/>
        </w:rPr>
        <w:t xml:space="preserve">Chicken gaining share vs. beef: </w:t>
      </w:r>
      <w:r>
        <w:rPr>
          <w:rFonts w:ascii="Calibri" w:hAnsi="Calibri"/>
          <w:color w:val="525866"/>
          <w:sz w:val="22"/>
        </w:rPr>
        <w:t xml:space="preserve">MCD noted chicken is “bigger than beef globally and growing 2x faster,” with elevated beef prices making chicken “a much more attractive value opportunity.” </w:t>
      </w:r>
      <w:r>
        <w:rPr>
          <w:rFonts w:ascii="Calibri" w:hAnsi="Calibri"/>
          <w:b/>
          <w:color w:val="525866"/>
          <w:sz w:val="22"/>
        </w:rPr>
        <w:t xml:space="preserve">Read-through: </w:t>
      </w:r>
      <w:r>
        <w:rPr>
          <w:rFonts w:ascii="Calibri" w:hAnsi="Calibri"/>
          <w:color w:val="525866"/>
          <w:sz w:val="22"/>
        </w:rPr>
        <w:t>CMG’s Chipotle Honey Chicken LTO (launched April 29) is well-timed to capture the consumer shift toward chicken — a potential incremental traffic driver in Q2.</w:t>
      </w:r>
    </w:p>
    <w:p>
      <w:pPr>
        <w:pStyle w:val="Heading2"/>
      </w:pPr>
      <w:r>
        <w:rPr>
          <w:rFonts w:ascii="Calibri" w:hAnsi="Calibri"/>
          <w:b/>
          <w:color w:val="3B4259"/>
          <w:sz w:val="28"/>
        </w:rPr>
        <w:t>Texas Roadhouse (TXRH) — Q1 2026 Earnings (May 7, 2026)</w:t>
      </w:r>
    </w:p>
    <w:p>
      <w:r>
        <w:rPr>
          <w:rFonts w:ascii="Calibri" w:hAnsi="Calibri"/>
          <w:b/>
          <w:color w:val="525866"/>
          <w:sz w:val="22"/>
        </w:rPr>
        <w:t xml:space="preserve">Relevance: </w:t>
      </w:r>
      <w:r>
        <w:rPr>
          <w:rFonts w:ascii="Calibri" w:hAnsi="Calibri"/>
          <w:color w:val="525866"/>
          <w:sz w:val="22"/>
        </w:rPr>
        <w:t>TXRH is a casual dining share-gainer with strong traffic growth, providing a benchmark for what “good” execution looks like in the current environment.</w:t>
      </w:r>
    </w:p>
    <w:p>
      <w:pPr>
        <w:pStyle w:val="ListBullet"/>
        <w:ind w:left="360" w:hanging="360"/>
      </w:pPr>
      <w:r>
        <w:rPr>
          <w:rFonts w:ascii="Calibri" w:hAnsi="Calibri"/>
          <w:b/>
          <w:color w:val="525866"/>
          <w:sz w:val="22"/>
        </w:rPr>
        <w:t xml:space="preserve">Q1 comps +7.1% with +4.5% traffic; Q2 tracking +6.5% in first 5 weeks: </w:t>
      </w:r>
      <w:r>
        <w:rPr>
          <w:rFonts w:ascii="Calibri" w:hAnsi="Calibri"/>
          <w:color w:val="525866"/>
          <w:sz w:val="22"/>
        </w:rPr>
        <w:t xml:space="preserve">TXRH reported exceptional traffic growth and guided Q2 to +6.5% comps in the first 5 weeks (including 1.9% pricing). Management noted “strength across all regions” and “no correlation between gas prices and traffic trends.” </w:t>
      </w:r>
      <w:r>
        <w:rPr>
          <w:rFonts w:ascii="Calibri" w:hAnsi="Calibri"/>
          <w:b/>
          <w:color w:val="525866"/>
          <w:sz w:val="22"/>
        </w:rPr>
        <w:t xml:space="preserve">Read-through: </w:t>
      </w:r>
      <w:r>
        <w:rPr>
          <w:rFonts w:ascii="Calibri" w:hAnsi="Calibri"/>
          <w:color w:val="525866"/>
          <w:sz w:val="22"/>
        </w:rPr>
        <w:t>TXRH’s strong traffic is a high bar, but it validates that consumers are willing to spend on quality dining experiences. CMG’s much lower comp guide (~+1%) is achievable in this environment.</w:t>
      </w:r>
    </w:p>
    <w:p>
      <w:pPr>
        <w:pStyle w:val="ListBullet"/>
        <w:ind w:left="360" w:hanging="360"/>
      </w:pPr>
      <w:r>
        <w:rPr>
          <w:rFonts w:ascii="Calibri" w:hAnsi="Calibri"/>
          <w:b/>
          <w:color w:val="525866"/>
          <w:sz w:val="22"/>
        </w:rPr>
        <w:t xml:space="preserve">Q2 commodity inflation 7–8%, beef is the driver: </w:t>
      </w:r>
      <w:r>
        <w:rPr>
          <w:rFonts w:ascii="Calibri" w:hAnsi="Calibri"/>
          <w:color w:val="525866"/>
          <w:sz w:val="22"/>
        </w:rPr>
        <w:t xml:space="preserve">TXRH guided Q2 commodity inflation to 7–8% (vs. full-year 6–7%), with beef as “the lion’s share” of the change. H2 expected to be at or below the bottom of the 6–7% range. </w:t>
      </w:r>
      <w:r>
        <w:rPr>
          <w:rFonts w:ascii="Calibri" w:hAnsi="Calibri"/>
          <w:b/>
          <w:color w:val="525866"/>
          <w:sz w:val="22"/>
        </w:rPr>
        <w:t xml:space="preserve">Read-through: </w:t>
      </w:r>
      <w:r>
        <w:rPr>
          <w:rFonts w:ascii="Calibri" w:hAnsi="Calibri"/>
          <w:color w:val="525866"/>
          <w:sz w:val="22"/>
        </w:rPr>
        <w:t>Confirms Q2 is the peak beef inflation quarter across the industry. CMG’s mid-single-digit food cost inflation guide for Q2 is consistent with TXRH’s experience, and H2 relief is broadly expected.</w:t>
      </w:r>
    </w:p>
    <w:p>
      <w:pPr>
        <w:pStyle w:val="ListBullet"/>
        <w:ind w:left="360" w:hanging="360"/>
      </w:pPr>
      <w:r>
        <w:rPr>
          <w:rFonts w:ascii="Calibri" w:hAnsi="Calibri"/>
          <w:b/>
          <w:color w:val="525866"/>
          <w:sz w:val="22"/>
        </w:rPr>
        <w:t xml:space="preserve">Consumers trading within beef category (to lower-cost cuts) and to chicken/pork: </w:t>
      </w:r>
      <w:r>
        <w:rPr>
          <w:rFonts w:ascii="Calibri" w:hAnsi="Calibri"/>
          <w:color w:val="525866"/>
          <w:sz w:val="22"/>
        </w:rPr>
        <w:t xml:space="preserve">TXRH observed “demand destruction” in retail beef, with consumers shifting to pork, chicken, and lower-cost beef cuts. </w:t>
      </w:r>
      <w:r>
        <w:rPr>
          <w:rFonts w:ascii="Calibri" w:hAnsi="Calibri"/>
          <w:b/>
          <w:color w:val="525866"/>
          <w:sz w:val="22"/>
        </w:rPr>
        <w:t xml:space="preserve">Read-through: </w:t>
      </w:r>
      <w:r>
        <w:rPr>
          <w:rFonts w:ascii="Calibri" w:hAnsi="Calibri"/>
          <w:color w:val="525866"/>
          <w:sz w:val="22"/>
        </w:rPr>
        <w:t>CMG’s chicken LTO and protein cup innovation are well-positioned to capture this consumer shift toward non-beef proteins.</w:t>
      </w:r>
    </w:p>
    <w:p>
      <w:pPr>
        <w:pStyle w:val="ListBullet"/>
        <w:ind w:left="360" w:hanging="360"/>
      </w:pPr>
      <w:r>
        <w:rPr>
          <w:rFonts w:ascii="Calibri" w:hAnsi="Calibri"/>
          <w:b/>
          <w:color w:val="525866"/>
          <w:sz w:val="22"/>
        </w:rPr>
        <w:t xml:space="preserve">Value proposition as a gas-price hedge: </w:t>
      </w:r>
      <w:r>
        <w:rPr>
          <w:rFonts w:ascii="Calibri" w:hAnsi="Calibri"/>
          <w:color w:val="525866"/>
          <w:sz w:val="22"/>
        </w:rPr>
        <w:t xml:space="preserve">TXRH management noted “if someone is trying to watch what they spend because they’re spending more money at the gas pump, Texas Roadhouse becomes a great option.” </w:t>
      </w:r>
      <w:r>
        <w:rPr>
          <w:rFonts w:ascii="Calibri" w:hAnsi="Calibri"/>
          <w:b/>
          <w:color w:val="525866"/>
          <w:sz w:val="22"/>
        </w:rPr>
        <w:t xml:space="preserve">Read-through: </w:t>
      </w:r>
      <w:r>
        <w:rPr>
          <w:rFonts w:ascii="Calibri" w:hAnsi="Calibri"/>
          <w:color w:val="525866"/>
          <w:sz w:val="22"/>
        </w:rPr>
        <w:t>CMG’s positioning as 20–30% cheaper than fast-casual peers provides a similar value-haven narrative in a high-gas-price environment.</w:t>
      </w:r>
    </w:p>
    <w:p>
      <w:pPr>
        <w:pStyle w:val="Heading2"/>
      </w:pPr>
      <w:r>
        <w:rPr>
          <w:rFonts w:ascii="Calibri" w:hAnsi="Calibri"/>
          <w:b/>
          <w:color w:val="3B4259"/>
          <w:sz w:val="28"/>
        </w:rPr>
        <w:t>Wendy’s (WEN) — Q1 2026 Earnings (May 8, 2026)</w:t>
      </w:r>
    </w:p>
    <w:p>
      <w:r>
        <w:rPr>
          <w:rFonts w:ascii="Calibri" w:hAnsi="Calibri"/>
          <w:b/>
          <w:color w:val="525866"/>
          <w:sz w:val="22"/>
        </w:rPr>
        <w:t xml:space="preserve">Relevance: </w:t>
      </w:r>
      <w:r>
        <w:rPr>
          <w:rFonts w:ascii="Calibri" w:hAnsi="Calibri"/>
          <w:color w:val="525866"/>
          <w:sz w:val="22"/>
        </w:rPr>
        <w:t>WEN is a QSR burger chain with significant traffic headwinds, providing a cautionary read-through on what happens when value positioning erodes.</w:t>
      </w:r>
    </w:p>
    <w:p>
      <w:pPr>
        <w:pStyle w:val="ListBullet"/>
        <w:ind w:left="360" w:hanging="360"/>
      </w:pPr>
      <w:r>
        <w:rPr>
          <w:rFonts w:ascii="Calibri" w:hAnsi="Calibri"/>
          <w:b/>
          <w:color w:val="525866"/>
          <w:sz w:val="22"/>
        </w:rPr>
        <w:t xml:space="preserve">U.S. same-restaurant sales -7.8% in Q1, April -6.4%: </w:t>
      </w:r>
      <w:r>
        <w:rPr>
          <w:rFonts w:ascii="Calibri" w:hAnsi="Calibri"/>
          <w:color w:val="525866"/>
          <w:sz w:val="22"/>
        </w:rPr>
        <w:t xml:space="preserve">WEN is in deep traffic decline, with the low-income consumer “absolutely still declining” and breakfast the worst-performing daypart. Q2 guided to mid-single-digit systemwide sales decline. </w:t>
      </w:r>
      <w:r>
        <w:rPr>
          <w:rFonts w:ascii="Calibri" w:hAnsi="Calibri"/>
          <w:b/>
          <w:color w:val="525866"/>
          <w:sz w:val="22"/>
        </w:rPr>
        <w:t xml:space="preserve">Read-through: </w:t>
      </w:r>
      <w:r>
        <w:rPr>
          <w:rFonts w:ascii="Calibri" w:hAnsi="Calibri"/>
          <w:color w:val="525866"/>
          <w:sz w:val="22"/>
        </w:rPr>
        <w:t>WEN’s struggles highlight the risk of losing value positioning — CMG’s deliberate under-pricing strategy is the right antidote. WEN’s weakness also suggests CMG is likely taking share from QSR.</w:t>
      </w:r>
    </w:p>
    <w:p>
      <w:pPr>
        <w:pStyle w:val="ListBullet"/>
        <w:ind w:left="360" w:hanging="360"/>
      </w:pPr>
      <w:r>
        <w:rPr>
          <w:rFonts w:ascii="Calibri" w:hAnsi="Calibri"/>
          <w:b/>
          <w:color w:val="525866"/>
          <w:sz w:val="22"/>
        </w:rPr>
        <w:t xml:space="preserve">Beef commodity inflation ~8% in Q1, guided ~4% full year (first-half heavy): </w:t>
      </w:r>
      <w:r>
        <w:rPr>
          <w:rFonts w:ascii="Calibri" w:hAnsi="Calibri"/>
          <w:color w:val="525866"/>
          <w:sz w:val="22"/>
        </w:rPr>
        <w:t xml:space="preserve">WEN flagged double-digit beef inflation in H1 2026, moderating to low-single-digits in H2 as prior-year beef costs are lapped. </w:t>
      </w:r>
      <w:r>
        <w:rPr>
          <w:rFonts w:ascii="Calibri" w:hAnsi="Calibri"/>
          <w:b/>
          <w:color w:val="525866"/>
          <w:sz w:val="22"/>
        </w:rPr>
        <w:t xml:space="preserve">Read-through: </w:t>
      </w:r>
      <w:r>
        <w:rPr>
          <w:rFonts w:ascii="Calibri" w:hAnsi="Calibri"/>
          <w:color w:val="525866"/>
          <w:sz w:val="22"/>
        </w:rPr>
        <w:t>Consistent with CMG’s guided food cost trajectory — Q2 is peak, H2 improves. No negative surprise expected on CMG’s food cost guidance.</w:t>
      </w:r>
    </w:p>
    <w:p>
      <w:pPr>
        <w:pStyle w:val="Heading2"/>
      </w:pPr>
      <w:r>
        <w:rPr>
          <w:rFonts w:ascii="Calibri" w:hAnsi="Calibri"/>
          <w:b/>
          <w:color w:val="3B4259"/>
          <w:sz w:val="28"/>
        </w:rPr>
        <w:t>Restaurant Brands International (QSR) — Bernstein Conference (May 28, 2026)</w:t>
      </w:r>
    </w:p>
    <w:p>
      <w:r>
        <w:rPr>
          <w:rFonts w:ascii="Calibri" w:hAnsi="Calibri"/>
          <w:b/>
          <w:color w:val="525866"/>
          <w:sz w:val="22"/>
        </w:rPr>
        <w:t xml:space="preserve">Relevance: </w:t>
      </w:r>
      <w:r>
        <w:rPr>
          <w:rFonts w:ascii="Calibri" w:hAnsi="Calibri"/>
          <w:color w:val="525866"/>
          <w:sz w:val="22"/>
        </w:rPr>
        <w:t>RBI operates Burger King, Tim Hortons, Popeyes, and Firehouse Subs — a broad QSR read-through on consumer trends across income cohorts and geographies.</w:t>
      </w:r>
    </w:p>
    <w:p>
      <w:pPr>
        <w:pStyle w:val="ListBullet"/>
        <w:ind w:left="360" w:hanging="360"/>
      </w:pPr>
      <w:r>
        <w:rPr>
          <w:rFonts w:ascii="Calibri" w:hAnsi="Calibri"/>
          <w:b/>
          <w:color w:val="525866"/>
          <w:sz w:val="22"/>
        </w:rPr>
        <w:t xml:space="preserve">Q1 systemwide comps &gt;3%, May still feeling “pretty good”: </w:t>
      </w:r>
      <w:r>
        <w:rPr>
          <w:rFonts w:ascii="Calibri" w:hAnsi="Calibri"/>
          <w:color w:val="525866"/>
          <w:sz w:val="22"/>
        </w:rPr>
        <w:t xml:space="preserve">RBI achieved &gt;3% same-store sales in Q1 and management expressed confidence in maintaining that trend through Q2 as of late May. Tim Hortons Canada saw some softening (~1.5% comps) but outperformed the industry by ~150 bps. </w:t>
      </w:r>
      <w:r>
        <w:rPr>
          <w:rFonts w:ascii="Calibri" w:hAnsi="Calibri"/>
          <w:b/>
          <w:color w:val="525866"/>
          <w:sz w:val="22"/>
        </w:rPr>
        <w:t xml:space="preserve">Read-through: </w:t>
      </w:r>
      <w:r>
        <w:rPr>
          <w:rFonts w:ascii="Calibri" w:hAnsi="Calibri"/>
          <w:color w:val="525866"/>
          <w:sz w:val="22"/>
        </w:rPr>
        <w:t>Broad QSR industry is holding up better than feared, supporting CMG’s ability to achieve its modest ~+1% Q2 comp guide.</w:t>
      </w:r>
    </w:p>
    <w:p>
      <w:pPr>
        <w:pStyle w:val="ListBullet"/>
        <w:ind w:left="360" w:hanging="360"/>
      </w:pPr>
      <w:r>
        <w:rPr>
          <w:rFonts w:ascii="Calibri" w:hAnsi="Calibri"/>
          <w:b/>
          <w:color w:val="525866"/>
          <w:sz w:val="22"/>
        </w:rPr>
        <w:t xml:space="preserve">Consumer confidence “not in a great place” but recovering from Iran conflict lows: </w:t>
      </w:r>
      <w:r>
        <w:rPr>
          <w:rFonts w:ascii="Calibri" w:hAnsi="Calibri"/>
          <w:color w:val="525866"/>
          <w:sz w:val="22"/>
        </w:rPr>
        <w:t xml:space="preserve">RBI noted Canadian consumer confidence “dipped with the conflict in Iran but has since come back a little bit.” </w:t>
      </w:r>
      <w:r>
        <w:rPr>
          <w:rFonts w:ascii="Calibri" w:hAnsi="Calibri"/>
          <w:b/>
          <w:color w:val="525866"/>
          <w:sz w:val="22"/>
        </w:rPr>
        <w:t xml:space="preserve">Read-through: </w:t>
      </w:r>
      <w:r>
        <w:rPr>
          <w:rFonts w:ascii="Calibri" w:hAnsi="Calibri"/>
          <w:color w:val="525866"/>
          <w:sz w:val="22"/>
        </w:rPr>
        <w:t>Consistent with CMG’s Q1 call commentary about “a little bit of softening in March around the time the Iran conflict began” — the macro headwind appears to have been transient rather than structural.</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Morgan Stanley downgrade to Equal-Weight (June 3) — a sentiment headwind that contributed to the mid-June stock selloff — while the JPMorgan upgrade to Overweight (June 5) partially offset it. Operationally, the leadership team is now fully in place with Fernando Machado (Chief Brand Officer) officially starting June 1, which is the key catalyst for accelerating the brand and digital pillars of the “Recipe for Growth” strategy.</w:t>
      </w:r>
    </w:p>
    <w:p>
      <w:pPr>
        <w:pStyle w:val="ListBullet"/>
        <w:ind w:left="360" w:hanging="360"/>
      </w:pPr>
      <w:r>
        <w:rPr>
          <w:rFonts w:ascii="Calibri" w:hAnsi="Calibri"/>
          <w:b/>
          <w:color w:val="525866"/>
          <w:sz w:val="22"/>
        </w:rPr>
        <w:t xml:space="preserve">Apr 27, 2026 — Fernando Machado named Chief Brand Officer, Arly Sisson named Chief Digital Officer (8-K). </w:t>
      </w:r>
      <w:r>
        <w:rPr>
          <w:rFonts w:ascii="Calibri" w:hAnsi="Calibri"/>
          <w:color w:val="525866"/>
          <w:sz w:val="22"/>
        </w:rPr>
        <w:t xml:space="preserve">Two critical leadership hires announced two days before Q1 earnings. Machado (formerly Burger King, Activision) officially started June 1. These hires complete the leadership team under CEO Scott Boatwright and are expected to accelerate the brand and digital pillars of the Recipe for Growth strategy. </w:t>
      </w:r>
      <w:r>
        <w:rPr>
          <w:rFonts w:ascii="Calibri" w:hAnsi="Calibri"/>
          <w:b/>
          <w:color w:val="525866"/>
          <w:sz w:val="22"/>
        </w:rPr>
        <w:t xml:space="preserve">Implication: </w:t>
      </w:r>
      <w:r>
        <w:rPr>
          <w:rFonts w:ascii="Calibri" w:hAnsi="Calibri"/>
          <w:color w:val="525866"/>
          <w:sz w:val="22"/>
        </w:rPr>
        <w:t>Q2 will be the first full quarter with both executives in seat — any early evidence of brand/digital acceleration (loyalty enrollment, digital sales mix) would be a positive signal.</w:t>
      </w:r>
    </w:p>
    <w:p>
      <w:pPr>
        <w:pStyle w:val="ListBullet"/>
        <w:ind w:left="360" w:hanging="360"/>
      </w:pPr>
      <w:r>
        <w:rPr>
          <w:rFonts w:ascii="Calibri" w:hAnsi="Calibri"/>
          <w:b/>
          <w:color w:val="525866"/>
          <w:sz w:val="22"/>
        </w:rPr>
        <w:t xml:space="preserve">Apr 29, 2026 — Chipotle Honey Chicken LTO launched (Q1 earnings call). </w:t>
      </w:r>
      <w:r>
        <w:rPr>
          <w:rFonts w:ascii="Calibri" w:hAnsi="Calibri"/>
          <w:color w:val="525866"/>
          <w:sz w:val="22"/>
        </w:rPr>
        <w:t xml:space="preserve">Management explicitly embedded a “modest increase” from Honey Chicken in Q2 comp guidance. The LTO follows Cilantro Lime Sauce (Q1), which outperformed prior LTOs and drove a step-up in April trends. </w:t>
      </w:r>
      <w:r>
        <w:rPr>
          <w:rFonts w:ascii="Calibri" w:hAnsi="Calibri"/>
          <w:b/>
          <w:color w:val="525866"/>
          <w:sz w:val="22"/>
        </w:rPr>
        <w:t xml:space="preserve">Implication: </w:t>
      </w:r>
      <w:r>
        <w:rPr>
          <w:rFonts w:ascii="Calibri" w:hAnsi="Calibri"/>
          <w:color w:val="525866"/>
          <w:sz w:val="22"/>
        </w:rPr>
        <w:t>Honey Chicken’s performance vs. Cilantro Lime Sauce is a key data point to watch — if it outperforms, Q2 comps could beat the ~+1% guide.</w:t>
      </w:r>
    </w:p>
    <w:p>
      <w:pPr>
        <w:pStyle w:val="ListBullet"/>
        <w:ind w:left="360" w:hanging="360"/>
      </w:pPr>
      <w:r>
        <w:rPr>
          <w:rFonts w:ascii="Calibri" w:hAnsi="Calibri"/>
          <w:b/>
          <w:color w:val="525866"/>
          <w:sz w:val="22"/>
        </w:rPr>
        <w:t xml:space="preserve">May 5, 2026 — Argus upgrades CMG to Buy, PT $40. </w:t>
      </w:r>
      <w:r>
        <w:rPr>
          <w:rFonts w:ascii="Calibri" w:hAnsi="Calibri"/>
          <w:color w:val="525866"/>
          <w:sz w:val="22"/>
        </w:rPr>
        <w:t xml:space="preserve">First post-Q1 analyst upgrade, citing return to positive transaction growth and Recipe for Growth momentum. </w:t>
      </w:r>
      <w:r>
        <w:rPr>
          <w:rFonts w:ascii="Calibri" w:hAnsi="Calibri"/>
          <w:b/>
          <w:color w:val="525866"/>
          <w:sz w:val="22"/>
        </w:rPr>
        <w:t xml:space="preserve">Implication: </w:t>
      </w:r>
      <w:r>
        <w:rPr>
          <w:rFonts w:ascii="Calibri" w:hAnsi="Calibri"/>
          <w:color w:val="525866"/>
          <w:sz w:val="22"/>
        </w:rPr>
        <w:t>Incremental buy-side interest following Q1 beat.</w:t>
      </w:r>
    </w:p>
    <w:p>
      <w:pPr>
        <w:pStyle w:val="ListBullet"/>
        <w:ind w:left="360" w:hanging="360"/>
      </w:pPr>
      <w:r>
        <w:rPr>
          <w:rFonts w:ascii="Calibri" w:hAnsi="Calibri"/>
          <w:b/>
          <w:color w:val="525866"/>
          <w:sz w:val="22"/>
        </w:rPr>
        <w:t xml:space="preserve">Jun 1, 2026 — Fernando Machado officially starts as Chief Brand Officer. </w:t>
      </w:r>
      <w:r>
        <w:rPr>
          <w:rFonts w:ascii="Calibri" w:hAnsi="Calibri"/>
          <w:color w:val="525866"/>
          <w:sz w:val="22"/>
        </w:rPr>
        <w:t xml:space="preserve">Q2 is the first full quarter with Machado in seat. His mandate includes accelerating culturally relevant marketing and brand positioning. </w:t>
      </w:r>
      <w:r>
        <w:rPr>
          <w:rFonts w:ascii="Calibri" w:hAnsi="Calibri"/>
          <w:b/>
          <w:color w:val="525866"/>
          <w:sz w:val="22"/>
        </w:rPr>
        <w:t xml:space="preserve">Implication: </w:t>
      </w:r>
      <w:r>
        <w:rPr>
          <w:rFonts w:ascii="Calibri" w:hAnsi="Calibri"/>
          <w:color w:val="525866"/>
          <w:sz w:val="22"/>
        </w:rPr>
        <w:t>Any early evidence of improved brand metrics or marketing effectiveness would be a positive signal on the Q2 call.</w:t>
      </w:r>
    </w:p>
    <w:p>
      <w:pPr>
        <w:pStyle w:val="ListBullet"/>
        <w:ind w:left="360" w:hanging="360"/>
      </w:pPr>
      <w:r>
        <w:rPr>
          <w:rFonts w:ascii="Calibri" w:hAnsi="Calibri"/>
          <w:b/>
          <w:color w:val="525866"/>
          <w:sz w:val="22"/>
        </w:rPr>
        <w:t xml:space="preserve">Jun 3, 2026 — Morgan Stanley downgrades CMG to Equal-Weight, cuts PT from $49 to $37. </w:t>
      </w:r>
      <w:r>
        <w:rPr>
          <w:rFonts w:ascii="Calibri" w:hAnsi="Calibri"/>
          <w:color w:val="525866"/>
          <w:sz w:val="22"/>
        </w:rPr>
        <w:t xml:space="preserve">Analyst Brian Harbour cited valuation and near-term margin pressure as reasons for the downgrade. The stock sold off sharply in early June, touching ~$28–29. </w:t>
      </w:r>
      <w:r>
        <w:rPr>
          <w:rFonts w:ascii="Calibri" w:hAnsi="Calibri"/>
          <w:b/>
          <w:color w:val="525866"/>
          <w:sz w:val="22"/>
        </w:rPr>
        <w:t xml:space="preserve">Implication: </w:t>
      </w:r>
      <w:r>
        <w:rPr>
          <w:rFonts w:ascii="Calibri" w:hAnsi="Calibri"/>
          <w:color w:val="525866"/>
          <w:sz w:val="22"/>
        </w:rPr>
        <w:t>A significant sentiment headwind; the downgrade from a high-profile firm contributed to the mid-June selloff. The stock has since recovered to ~$33–34, suggesting the market has partially digested the downgrade.</w:t>
      </w:r>
    </w:p>
    <w:p>
      <w:pPr>
        <w:pStyle w:val="ListBullet"/>
        <w:ind w:left="360" w:hanging="360"/>
      </w:pPr>
      <w:r>
        <w:rPr>
          <w:rFonts w:ascii="Calibri" w:hAnsi="Calibri"/>
          <w:b/>
          <w:color w:val="525866"/>
          <w:sz w:val="22"/>
        </w:rPr>
        <w:t xml:space="preserve">Jun 5, 2026 — JPMorgan upgrades CMG to Overweight, PT $35 (from Neutral, PT $38). </w:t>
      </w:r>
      <w:r>
        <w:rPr>
          <w:rFonts w:ascii="Calibri" w:hAnsi="Calibri"/>
          <w:color w:val="525866"/>
          <w:sz w:val="22"/>
        </w:rPr>
        <w:t xml:space="preserve">Analyst John Ivankoe upgraded on valuation grounds, noting the stock’s discount to historical multiples. The PT cut reflects near-term margin pressure but the upgrade signals conviction in the long-term thesis. </w:t>
      </w:r>
      <w:r>
        <w:rPr>
          <w:rFonts w:ascii="Calibri" w:hAnsi="Calibri"/>
          <w:b/>
          <w:color w:val="525866"/>
          <w:sz w:val="22"/>
        </w:rPr>
        <w:t xml:space="preserve">Implication: </w:t>
      </w:r>
      <w:r>
        <w:rPr>
          <w:rFonts w:ascii="Calibri" w:hAnsi="Calibri"/>
          <w:color w:val="525866"/>
          <w:sz w:val="22"/>
        </w:rPr>
        <w:t>Partially offset the MS downgrade; JPM’s upgrade at a lower PT suggests the risk/reward is improving at current levels.</w:t>
      </w:r>
    </w:p>
    <w:p>
      <w:pPr>
        <w:pStyle w:val="ListBullet"/>
        <w:ind w:left="360" w:hanging="360"/>
      </w:pPr>
      <w:r>
        <w:rPr>
          <w:rFonts w:ascii="Calibri" w:hAnsi="Calibri"/>
          <w:b/>
          <w:color w:val="525866"/>
          <w:sz w:val="22"/>
        </w:rPr>
        <w:t xml:space="preserve">Jun 8, 2026 — Chipotle appoints independent director to Audit and Risk Committee (8-K). </w:t>
      </w:r>
      <w:r>
        <w:rPr>
          <w:rFonts w:ascii="Calibri" w:hAnsi="Calibri"/>
          <w:color w:val="525866"/>
          <w:sz w:val="22"/>
        </w:rPr>
        <w:t xml:space="preserve">Routine governance action. </w:t>
      </w:r>
      <w:r>
        <w:rPr>
          <w:rFonts w:ascii="Calibri" w:hAnsi="Calibri"/>
          <w:b/>
          <w:color w:val="525866"/>
          <w:sz w:val="22"/>
        </w:rPr>
        <w:t xml:space="preserve">Implication: </w:t>
      </w:r>
      <w:r>
        <w:rPr>
          <w:rFonts w:ascii="Calibri" w:hAnsi="Calibri"/>
          <w:color w:val="525866"/>
          <w:sz w:val="22"/>
        </w:rPr>
        <w:t>No material impact on operations or financials.</w:t>
      </w:r>
    </w:p>
    <w:p>
      <w:pPr>
        <w:pStyle w:val="ListBullet"/>
        <w:ind w:left="360" w:hanging="360"/>
      </w:pPr>
      <w:r>
        <w:rPr>
          <w:rFonts w:ascii="Calibri" w:hAnsi="Calibri"/>
          <w:b/>
          <w:color w:val="525866"/>
          <w:sz w:val="22"/>
        </w:rPr>
        <w:t xml:space="preserve">Jun 16, 2026 — Shareholders affirm board, executive pay, and auditor at Annual Meeting (8-K). </w:t>
      </w:r>
      <w:r>
        <w:rPr>
          <w:rFonts w:ascii="Calibri" w:hAnsi="Calibri"/>
          <w:color w:val="525866"/>
          <w:sz w:val="22"/>
        </w:rPr>
        <w:t xml:space="preserve">Routine annual meeting with no contested votes. </w:t>
      </w:r>
      <w:r>
        <w:rPr>
          <w:rFonts w:ascii="Calibri" w:hAnsi="Calibri"/>
          <w:b/>
          <w:color w:val="525866"/>
          <w:sz w:val="22"/>
        </w:rPr>
        <w:t xml:space="preserve">Implication: </w:t>
      </w:r>
      <w:r>
        <w:rPr>
          <w:rFonts w:ascii="Calibri" w:hAnsi="Calibri"/>
          <w:color w:val="525866"/>
          <w:sz w:val="22"/>
        </w:rPr>
        <w:t>No material impact.</w:t>
      </w:r>
    </w:p>
    <w:p>
      <w:pPr>
        <w:pStyle w:val="ListBullet"/>
        <w:ind w:left="360" w:hanging="360"/>
      </w:pPr>
      <w:r>
        <w:rPr>
          <w:rFonts w:ascii="Calibri" w:hAnsi="Calibri"/>
          <w:b/>
          <w:color w:val="525866"/>
          <w:sz w:val="22"/>
        </w:rPr>
        <w:t xml:space="preserve">Jul 13, 2026 — Citigroup cuts PT from $46 to $45 (Buy maintained); Mizuho raises PT from $40 to $41 (Outperform). </w:t>
      </w:r>
      <w:r>
        <w:rPr>
          <w:rFonts w:ascii="Calibri" w:hAnsi="Calibri"/>
          <w:color w:val="525866"/>
          <w:sz w:val="22"/>
        </w:rPr>
        <w:t xml:space="preserve">Pre-earnings PT adjustments. Citi’s modest cut reflects near-term margin caution; Mizuho’s raise reflects confidence in the comp recovery trajectory. </w:t>
      </w:r>
      <w:r>
        <w:rPr>
          <w:rFonts w:ascii="Calibri" w:hAnsi="Calibri"/>
          <w:b/>
          <w:color w:val="525866"/>
          <w:sz w:val="22"/>
        </w:rPr>
        <w:t xml:space="preserve">Implication: </w:t>
      </w:r>
      <w:r>
        <w:rPr>
          <w:rFonts w:ascii="Calibri" w:hAnsi="Calibri"/>
          <w:color w:val="525866"/>
          <w:sz w:val="22"/>
        </w:rPr>
        <w:t>Consensus PT of ~$45 implies ~35% upside from current levels — the Street is broadly constructive but waiting for execution proof points.</w:t>
      </w:r>
    </w:p>
    <w:p>
      <w:pPr>
        <w:pStyle w:val="ListBullet"/>
        <w:ind w:left="360" w:hanging="360"/>
      </w:pPr>
      <w:r>
        <w:rPr>
          <w:rFonts w:ascii="Calibri" w:hAnsi="Calibri"/>
          <w:b/>
          <w:color w:val="525866"/>
          <w:sz w:val="22"/>
        </w:rPr>
        <w:t xml:space="preserve">Jul 20, 2026 — CMG announces Q1 2027 earnings date (press release). </w:t>
      </w:r>
      <w:r>
        <w:rPr>
          <w:rFonts w:ascii="Calibri" w:hAnsi="Calibri"/>
          <w:color w:val="525866"/>
          <w:sz w:val="22"/>
        </w:rPr>
        <w:t xml:space="preserve">Routine scheduling announcement. </w:t>
      </w:r>
      <w:r>
        <w:rPr>
          <w:rFonts w:ascii="Calibri" w:hAnsi="Calibri"/>
          <w:b/>
          <w:color w:val="525866"/>
          <w:sz w:val="22"/>
        </w:rPr>
        <w:t xml:space="preserve">Implication: </w:t>
      </w:r>
      <w:r>
        <w:rPr>
          <w:rFonts w:ascii="Calibri" w:hAnsi="Calibri"/>
          <w:color w:val="525866"/>
          <w:sz w:val="22"/>
        </w:rPr>
        <w:t>No material impact.</w:t>
      </w:r>
    </w:p>
    <w:p>
      <w:pPr>
        <w:pStyle w:val="ListBullet"/>
        <w:ind w:left="360" w:hanging="360"/>
      </w:pPr>
      <w:r>
        <w:rPr>
          <w:rFonts w:ascii="Calibri" w:hAnsi="Calibri"/>
          <w:b/>
          <w:color w:val="525866"/>
          <w:sz w:val="22"/>
        </w:rPr>
        <w:t xml:space="preserve">Ongoing — HEAT equipment rollout (600+ restaurants as of Q1, targeting 2,000 by year-end). </w:t>
      </w:r>
      <w:r>
        <w:rPr>
          <w:rFonts w:ascii="Calibri" w:hAnsi="Calibri"/>
          <w:color w:val="525866"/>
          <w:sz w:val="22"/>
        </w:rPr>
        <w:t xml:space="preserve">High-efficiency equipment delivering measurable comp lift (several hundred bps depending on restaurant). </w:t>
      </w:r>
      <w:r>
        <w:rPr>
          <w:rFonts w:ascii="Calibri" w:hAnsi="Calibri"/>
          <w:b/>
          <w:color w:val="525866"/>
          <w:sz w:val="22"/>
        </w:rPr>
        <w:t xml:space="preserve">Implication: </w:t>
      </w:r>
      <w:r>
        <w:rPr>
          <w:rFonts w:ascii="Calibri" w:hAnsi="Calibri"/>
          <w:color w:val="525866"/>
          <w:sz w:val="22"/>
        </w:rPr>
        <w:t>Each quarter of HEAT rollout adds incremental comp support — by Q2, HEAT should be in ~800–1,000 restaurants, providing a growing tailwind.</w:t>
      </w:r>
    </w:p>
    <w:p>
      <w:pPr>
        <w:pStyle w:val="ListBullet"/>
        <w:ind w:left="360" w:hanging="360"/>
      </w:pPr>
      <w:r>
        <w:rPr>
          <w:rFonts w:ascii="Calibri" w:hAnsi="Calibri"/>
          <w:b/>
          <w:color w:val="525866"/>
          <w:sz w:val="22"/>
        </w:rPr>
        <w:t xml:space="preserve">Ongoing — First-ever remodel program testing across 20 restaurants in 3 DMAs (summer 2026). </w:t>
      </w:r>
      <w:r>
        <w:rPr>
          <w:rFonts w:ascii="Calibri" w:hAnsi="Calibri"/>
          <w:color w:val="525866"/>
          <w:sz w:val="22"/>
        </w:rPr>
        <w:t xml:space="preserve">Three investment tiers being tested; ~1,000–1,500 restaurants identified as dated. </w:t>
      </w:r>
      <w:r>
        <w:rPr>
          <w:rFonts w:ascii="Calibri" w:hAnsi="Calibri"/>
          <w:b/>
          <w:color w:val="525866"/>
          <w:sz w:val="22"/>
        </w:rPr>
        <w:t xml:space="preserve">Implication: </w:t>
      </w:r>
      <w:r>
        <w:rPr>
          <w:rFonts w:ascii="Calibri" w:hAnsi="Calibri"/>
          <w:color w:val="525866"/>
          <w:sz w:val="22"/>
        </w:rPr>
        <w:t>Early results from the remodel test could be discussed on the Q2 call — a positive read would expand the long-term unit economics narrative.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or directors since Q1 earnings — the only transactions are routine stock award grants (Form 4 code “A”) to directors at the June 11 annual meeting and one gift/transfer by a director. The absence of any open-market selling by insiders is a mild positive signal; there is nothing here that raises a red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Baldocchi, Albert S.</w:t>
            </w:r>
          </w:p>
        </w:tc>
        <w:tc>
          <w:tcPr>
            <w:tcW w:type="dxa" w:w="1440"/>
          </w:tcPr>
          <w:p>
            <w:r>
              <w:rPr>
                <w:rFonts w:ascii="Calibri" w:hAnsi="Calibri"/>
                <w:sz w:val="22"/>
              </w:rPr>
              <w:t>Director</w:t>
            </w:r>
          </w:p>
        </w:tc>
        <w:tc>
          <w:tcPr>
            <w:tcW w:type="dxa" w:w="1440"/>
          </w:tcPr>
          <w:p>
            <w:r>
              <w:rPr>
                <w:rFonts w:ascii="Calibri" w:hAnsi="Calibri"/>
                <w:sz w:val="22"/>
              </w:rPr>
              <w:t>Stock Award (Grant)</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grant; not an open-market transaction</w:t>
            </w:r>
          </w:p>
        </w:tc>
      </w:tr>
      <w:tr>
        <w:tc>
          <w:tcPr>
            <w:tcW w:type="dxa" w:w="1440"/>
          </w:tcPr>
          <w:p>
            <w:r>
              <w:rPr>
                <w:rFonts w:ascii="Calibri" w:hAnsi="Calibri"/>
                <w:sz w:val="22"/>
              </w:rPr>
              <w:t>Carey, Matt</w:t>
            </w:r>
          </w:p>
        </w:tc>
        <w:tc>
          <w:tcPr>
            <w:tcW w:type="dxa" w:w="1440"/>
          </w:tcPr>
          <w:p>
            <w:r>
              <w:rPr>
                <w:rFonts w:ascii="Calibri" w:hAnsi="Calibri"/>
                <w:sz w:val="22"/>
              </w:rPr>
              <w:t>Director</w:t>
            </w:r>
          </w:p>
        </w:tc>
        <w:tc>
          <w:tcPr>
            <w:tcW w:type="dxa" w:w="1440"/>
          </w:tcPr>
          <w:p>
            <w:r>
              <w:rPr>
                <w:rFonts w:ascii="Calibri" w:hAnsi="Calibri"/>
                <w:sz w:val="22"/>
              </w:rPr>
              <w:t>Stock Award (Grant)</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Filikrushel, Patricia</w:t>
            </w:r>
          </w:p>
        </w:tc>
        <w:tc>
          <w:tcPr>
            <w:tcW w:type="dxa" w:w="1440"/>
          </w:tcPr>
          <w:p>
            <w:r>
              <w:rPr>
                <w:rFonts w:ascii="Calibri" w:hAnsi="Calibri"/>
                <w:sz w:val="22"/>
              </w:rPr>
              <w:t>Director</w:t>
            </w:r>
          </w:p>
        </w:tc>
        <w:tc>
          <w:tcPr>
            <w:tcW w:type="dxa" w:w="1440"/>
          </w:tcPr>
          <w:p>
            <w:r>
              <w:rPr>
                <w:rFonts w:ascii="Calibri" w:hAnsi="Calibri"/>
                <w:sz w:val="22"/>
              </w:rPr>
              <w:t>Stock Award (Grant)</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Fuentes, Laura</w:t>
            </w:r>
          </w:p>
        </w:tc>
        <w:tc>
          <w:tcPr>
            <w:tcW w:type="dxa" w:w="1440"/>
          </w:tcPr>
          <w:p>
            <w:r>
              <w:rPr>
                <w:rFonts w:ascii="Calibri" w:hAnsi="Calibri"/>
                <w:sz w:val="22"/>
              </w:rPr>
              <w:t>Director</w:t>
            </w:r>
          </w:p>
        </w:tc>
        <w:tc>
          <w:tcPr>
            <w:tcW w:type="dxa" w:w="1440"/>
          </w:tcPr>
          <w:p>
            <w:r>
              <w:rPr>
                <w:rFonts w:ascii="Calibri" w:hAnsi="Calibri"/>
                <w:sz w:val="22"/>
              </w:rPr>
              <w:t>Stock Award (Grant)</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Gutierrez, Mauricio</w:t>
            </w:r>
          </w:p>
        </w:tc>
        <w:tc>
          <w:tcPr>
            <w:tcW w:type="dxa" w:w="1440"/>
          </w:tcPr>
          <w:p>
            <w:r>
              <w:rPr>
                <w:rFonts w:ascii="Calibri" w:hAnsi="Calibri"/>
                <w:sz w:val="22"/>
              </w:rPr>
              <w:t>Director</w:t>
            </w:r>
          </w:p>
        </w:tc>
        <w:tc>
          <w:tcPr>
            <w:tcW w:type="dxa" w:w="1440"/>
          </w:tcPr>
          <w:p>
            <w:r>
              <w:rPr>
                <w:rFonts w:ascii="Calibri" w:hAnsi="Calibri"/>
                <w:sz w:val="22"/>
              </w:rPr>
              <w:t>Stock Award (Grant)</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Hickenlooper, Robin S.</w:t>
            </w:r>
          </w:p>
        </w:tc>
        <w:tc>
          <w:tcPr>
            <w:tcW w:type="dxa" w:w="1440"/>
          </w:tcPr>
          <w:p>
            <w:r>
              <w:rPr>
                <w:rFonts w:ascii="Calibri" w:hAnsi="Calibri"/>
                <w:sz w:val="22"/>
              </w:rPr>
              <w:t>Director</w:t>
            </w:r>
          </w:p>
        </w:tc>
        <w:tc>
          <w:tcPr>
            <w:tcW w:type="dxa" w:w="1440"/>
          </w:tcPr>
          <w:p>
            <w:r>
              <w:rPr>
                <w:rFonts w:ascii="Calibri" w:hAnsi="Calibri"/>
                <w:sz w:val="22"/>
              </w:rPr>
              <w:t>Stock Award (Grant)</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Maw, Scott Harlan</w:t>
            </w:r>
          </w:p>
        </w:tc>
        <w:tc>
          <w:tcPr>
            <w:tcW w:type="dxa" w:w="1440"/>
          </w:tcPr>
          <w:p>
            <w:r>
              <w:rPr>
                <w:rFonts w:ascii="Calibri" w:hAnsi="Calibri"/>
                <w:sz w:val="22"/>
              </w:rPr>
              <w:t>Director</w:t>
            </w:r>
          </w:p>
        </w:tc>
        <w:tc>
          <w:tcPr>
            <w:tcW w:type="dxa" w:w="1440"/>
          </w:tcPr>
          <w:p>
            <w:r>
              <w:rPr>
                <w:rFonts w:ascii="Calibri" w:hAnsi="Calibri"/>
                <w:sz w:val="22"/>
              </w:rPr>
              <w:t>Stock Award (Grant)</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Weinstein, Joshua Ian</w:t>
            </w:r>
          </w:p>
        </w:tc>
        <w:tc>
          <w:tcPr>
            <w:tcW w:type="dxa" w:w="1440"/>
          </w:tcPr>
          <w:p>
            <w:r>
              <w:rPr>
                <w:rFonts w:ascii="Calibri" w:hAnsi="Calibri"/>
                <w:sz w:val="22"/>
              </w:rPr>
              <w:t>Director</w:t>
            </w:r>
          </w:p>
        </w:tc>
        <w:tc>
          <w:tcPr>
            <w:tcW w:type="dxa" w:w="1440"/>
          </w:tcPr>
          <w:p>
            <w:r>
              <w:rPr>
                <w:rFonts w:ascii="Calibri" w:hAnsi="Calibri"/>
                <w:sz w:val="22"/>
              </w:rPr>
              <w:t>Stock Award (Grant)</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Winston, Mary A.</w:t>
            </w:r>
          </w:p>
        </w:tc>
        <w:tc>
          <w:tcPr>
            <w:tcW w:type="dxa" w:w="1440"/>
          </w:tcPr>
          <w:p>
            <w:r>
              <w:rPr>
                <w:rFonts w:ascii="Calibri" w:hAnsi="Calibri"/>
                <w:sz w:val="22"/>
              </w:rPr>
              <w:t>Director</w:t>
            </w:r>
          </w:p>
        </w:tc>
        <w:tc>
          <w:tcPr>
            <w:tcW w:type="dxa" w:w="1440"/>
          </w:tcPr>
          <w:p>
            <w:r>
              <w:rPr>
                <w:rFonts w:ascii="Calibri" w:hAnsi="Calibri"/>
                <w:sz w:val="22"/>
              </w:rPr>
              <w:t>Stock Award (Grant)</w:t>
            </w:r>
          </w:p>
        </w:tc>
        <w:tc>
          <w:tcPr>
            <w:tcW w:type="dxa" w:w="1440"/>
          </w:tcPr>
          <w:p>
            <w:r>
              <w:rPr>
                <w:rFonts w:ascii="Calibri" w:hAnsi="Calibri"/>
                <w:sz w:val="22"/>
              </w:rPr>
              <w:t>6,880</w:t>
            </w:r>
          </w:p>
        </w:tc>
        <w:tc>
          <w:tcPr>
            <w:tcW w:type="dxa" w:w="1440"/>
          </w:tcPr>
          <w:p>
            <w:r>
              <w:rPr>
                <w:rFonts w:ascii="Calibri" w:hAnsi="Calibri"/>
                <w:sz w:val="22"/>
              </w:rPr>
              <w:t>Jun 11,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Baldocchi, Albert S.</w:t>
            </w:r>
          </w:p>
        </w:tc>
        <w:tc>
          <w:tcPr>
            <w:tcW w:type="dxa" w:w="1440"/>
          </w:tcPr>
          <w:p>
            <w:r>
              <w:rPr>
                <w:rFonts w:ascii="Calibri" w:hAnsi="Calibri"/>
                <w:sz w:val="22"/>
              </w:rPr>
              <w:t>Director</w:t>
            </w:r>
          </w:p>
        </w:tc>
        <w:tc>
          <w:tcPr>
            <w:tcW w:type="dxa" w:w="1440"/>
          </w:tcPr>
          <w:p>
            <w:r>
              <w:rPr>
                <w:rFonts w:ascii="Calibri" w:hAnsi="Calibri"/>
                <w:sz w:val="22"/>
              </w:rPr>
              <w:t>Gift / Transfer (Code G)</w:t>
            </w:r>
          </w:p>
        </w:tc>
        <w:tc>
          <w:tcPr>
            <w:tcW w:type="dxa" w:w="1440"/>
          </w:tcPr>
          <w:p>
            <w:r>
              <w:rPr>
                <w:rFonts w:ascii="Calibri" w:hAnsi="Calibri"/>
                <w:sz w:val="22"/>
              </w:rPr>
              <w:t>6,672</w:t>
            </w:r>
          </w:p>
        </w:tc>
        <w:tc>
          <w:tcPr>
            <w:tcW w:type="dxa" w:w="1440"/>
          </w:tcPr>
          <w:p>
            <w:r>
              <w:rPr>
                <w:rFonts w:ascii="Calibri" w:hAnsi="Calibri"/>
                <w:sz w:val="22"/>
              </w:rPr>
              <w:t>May 20, 2026</w:t>
            </w:r>
          </w:p>
        </w:tc>
        <w:tc>
          <w:tcPr>
            <w:tcW w:type="dxa" w:w="1440"/>
          </w:tcPr>
          <w:p>
            <w:r>
              <w:rPr>
                <w:rFonts w:ascii="Calibri" w:hAnsi="Calibri"/>
                <w:sz w:val="22"/>
              </w:rPr>
              <w:t>Disposition via gift (not an open-market sale); no economic signal</w:t>
            </w:r>
          </w:p>
        </w:tc>
      </w:tr>
    </w:tbl>
    <w:p>
      <w:r>
        <w:rPr>
          <w:rFonts w:ascii="Calibri" w:hAnsi="Calibri"/>
          <w:b/>
          <w:color w:val="525866"/>
          <w:sz w:val="22"/>
        </w:rPr>
        <w:t xml:space="preserve">Note: </w:t>
      </w:r>
      <w:r>
        <w:rPr>
          <w:rFonts w:ascii="Calibri" w:hAnsi="Calibri"/>
          <w:color w:val="525866"/>
          <w:sz w:val="22"/>
        </w:rPr>
        <w:t>No open-market buys (Form 4 code P) or open-market sales (Form 4 code S) were filed by any CMG insider since the Q1 2026 earnings date (April 29, 2026). All transactions above are routine stock award grants (code A) at the annual meeting or a non-economic gift transfer. No 10b5-1 plan initiations or discretionary sales were identified. The absence of insider selling ahead of earnings is a neutral-to-mild positive signal.</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