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Chipotle Mexican Grill (CMG) — Q2 2026 Earnings Preview</w:t>
      </w:r>
    </w:p>
    <w:p>
      <w:r>
        <w:rPr>
          <w:rFonts w:ascii="Calibri" w:hAnsi="Calibri"/>
          <w:b/>
          <w:color w:val="525866"/>
          <w:sz w:val="22"/>
        </w:rPr>
        <w:t xml:space="preserve">Earnings Date: </w:t>
      </w:r>
      <w:r>
        <w:rPr>
          <w:rFonts w:ascii="Calibri" w:hAnsi="Calibri"/>
          <w:color w:val="525866"/>
          <w:sz w:val="22"/>
        </w:rPr>
        <w:t xml:space="preserve">July 29, 2026 (After Market Close)   </w:t>
      </w:r>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management guided Q2 comps to ~+1%, above the flat full-year baseline, and peer commentary confirms the fast-casual consumer held up reasonably well through the quarter; the primary swing factor is whether </w:t>
      </w:r>
      <w:r>
        <w:rPr>
          <w:rFonts w:ascii="Calibri" w:hAnsi="Calibri"/>
          <w:b/>
          <w:color w:val="525866"/>
          <w:sz w:val="22"/>
        </w:rPr>
        <w:t>transaction growth</w:t>
      </w:r>
      <w:r>
        <w:rPr>
          <w:rFonts w:ascii="Calibri" w:hAnsi="Calibri"/>
          <w:color w:val="525866"/>
          <w:sz w:val="22"/>
        </w:rPr>
        <w:t xml:space="preserve"> can sustain the positive inflection seen in Q1, or whether beef/avocado cost headwinds compress margins enough to disappoint on EPS.</w:t>
      </w:r>
    </w:p>
    <w:p>
      <w:r>
        <w:rPr>
          <w:rFonts w:ascii="Calibri" w:hAnsi="Calibri"/>
          <w:color w:val="525866"/>
          <w:sz w:val="22"/>
        </w:rPr>
        <w:t xml:space="preserve">Heading into Q2 2026, the bar for Chipotle is calibrated but not low: consensus sits at ~+1.4% comps and ~$0.32 adjusted EPS, broadly in line with management's own guidance of "about +1%" for the quarter, leaving limited room for a meaningful upside surprise on the top line without a genuine acceleration in traffic. </w:t>
      </w:r>
      <w:r>
        <w:rPr>
          <w:rFonts w:ascii="Calibri" w:hAnsi="Calibri"/>
          <w:b/>
          <w:color w:val="525866"/>
          <w:sz w:val="22"/>
        </w:rPr>
        <w:t>Management's tone on the Q1 call was the most constructive in several quarters</w:t>
      </w:r>
      <w:r>
        <w:rPr>
          <w:rFonts w:ascii="Calibri" w:hAnsi="Calibri"/>
          <w:color w:val="525866"/>
          <w:sz w:val="22"/>
        </w:rPr>
        <w:t xml:space="preserve"> — transactions turned positive for the first time in over a year, the Cilantro Lime Sauce LTO outperformed all prior sauces, and the rewards relaunch drove a ~25% jump in daily enrollees — but the company deliberately maintained a conservative full-year flat comp guide, citing geopolitical uncertainty and a dynamic consumer environment. Estimate revisions have been essentially flat since the Q1 print, with the Street aligned to guidance rather than pricing in upside, which means a beat on comps or a positive traffic read-through would likely be the catalyst for a re-rating. </w:t>
      </w:r>
      <w:r>
        <w:rPr>
          <w:rFonts w:ascii="Calibri" w:hAnsi="Calibri"/>
          <w:b/>
          <w:color w:val="525866"/>
          <w:sz w:val="22"/>
        </w:rPr>
        <w:t>The stock has de-rated sharply over the past year</w:t>
      </w:r>
      <w:r>
        <w:rPr>
          <w:rFonts w:ascii="Calibri" w:hAnsi="Calibri"/>
          <w:color w:val="525866"/>
          <w:sz w:val="22"/>
        </w:rPr>
        <w:t xml:space="preserve"> (NTM P/E compressed from ~34x to ~26x over 12 months, down ~28% in price), reflecting a "show-me" sentiment that requires sustained transaction growth to reverse. The single biggest wildcard is the </w:t>
      </w:r>
      <w:r>
        <w:rPr>
          <w:rFonts w:ascii="Calibri" w:hAnsi="Calibri"/>
          <w:b/>
          <w:color w:val="525866"/>
          <w:sz w:val="22"/>
        </w:rPr>
        <w:t>Taco Bell cyclospora outbreak</w:t>
      </w:r>
      <w:r>
        <w:rPr>
          <w:rFonts w:ascii="Calibri" w:hAnsi="Calibri"/>
          <w:color w:val="525866"/>
          <w:sz w:val="22"/>
        </w:rPr>
        <w:t xml:space="preserve"> (July 22 news), which briefly weighed on CMG shares (~3.4% decline on the day) as investors feared contagion risk to fresh-ingredient fast-casual broadly — any management commentary on whether this created a traffic tailwind or headwind in late July will be closely watched.</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reflects management's own +1% comp guide, making the bar achievable but not easy — </w:t>
      </w:r>
      <w:r>
        <w:rPr>
          <w:rFonts w:ascii="Calibri" w:hAnsi="Calibri"/>
          <w:b/>
          <w:color w:val="525866"/>
          <w:sz w:val="22"/>
        </w:rPr>
        <w:t>transaction growth</w:t>
      </w:r>
      <w:r>
        <w:rPr>
          <w:rFonts w:ascii="Calibri" w:hAnsi="Calibri"/>
          <w:color w:val="525866"/>
          <w:sz w:val="22"/>
        </w:rPr>
        <w:t xml:space="preserve"> is the bigger swing factor, as a second consecutive quarter of positive traffic would validate the "Recipe for Growth" thesis, while restaurant-level margin is the secondary risk given mid-single-digit food cost inflation running well above ~1.5% pricing.</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$3.088B</w:t>
            </w:r>
          </w:p>
        </w:tc>
        <w:tc>
          <w:tcPr>
            <w:tcW w:type="dxa" w:w="1234"/>
          </w:tcPr>
          <w:p>
            <w:r>
              <w:rPr>
                <w:rFonts w:ascii="Calibri" w:hAnsi="Calibri"/>
                <w:sz w:val="22"/>
              </w:rPr>
              <w:t>$3.063B</w:t>
            </w:r>
          </w:p>
        </w:tc>
        <w:tc>
          <w:tcPr>
            <w:tcW w:type="dxa" w:w="1234"/>
          </w:tcPr>
          <w:p>
            <w:r>
              <w:rPr>
                <w:rFonts w:ascii="Calibri" w:hAnsi="Calibri"/>
                <w:sz w:val="22"/>
              </w:rPr>
              <w:t>$3.333B</w:t>
            </w:r>
          </w:p>
        </w:tc>
        <w:tc>
          <w:tcPr>
            <w:tcW w:type="dxa" w:w="1234"/>
          </w:tcPr>
          <w:p>
            <w:r>
              <w:rPr>
                <w:rFonts w:ascii="Calibri" w:hAnsi="Calibri"/>
                <w:sz w:val="22"/>
              </w:rPr>
              <w:t>+8.8%</w:t>
            </w:r>
          </w:p>
        </w:tc>
        <w:tc>
          <w:tcPr>
            <w:tcW w:type="dxa" w:w="1234"/>
          </w:tcPr>
          <w:p>
            <w:r>
              <w:rPr>
                <w:rFonts w:ascii="Calibri" w:hAnsi="Calibri"/>
                <w:sz w:val="22"/>
              </w:rPr>
              <w:t>Implied ~+1% comp + ~350 new units</w:t>
            </w:r>
          </w:p>
        </w:tc>
        <w:tc>
          <w:tcPr>
            <w:tcW w:type="dxa" w:w="1234"/>
          </w:tcPr>
          <w:p>
            <w:r>
              <w:rPr>
                <w:rFonts w:ascii="Calibri" w:hAnsi="Calibri"/>
                <w:sz w:val="22"/>
              </w:rPr>
              <w:t>In line</w:t>
            </w:r>
          </w:p>
        </w:tc>
      </w:tr>
      <w:tr>
        <w:tc>
          <w:tcPr>
            <w:tcW w:type="dxa" w:w="1234"/>
          </w:tcPr>
          <w:p>
            <w:r>
              <w:rPr>
                <w:rFonts w:ascii="Calibri" w:hAnsi="Calibri"/>
                <w:sz w:val="22"/>
              </w:rPr>
              <w:t>Comparable Restaurant Sales (%)</w:t>
            </w:r>
          </w:p>
        </w:tc>
        <w:tc>
          <w:tcPr>
            <w:tcW w:type="dxa" w:w="1234"/>
          </w:tcPr>
          <w:p>
            <w:r>
              <w:rPr>
                <w:rFonts w:ascii="Calibri" w:hAnsi="Calibri"/>
                <w:sz w:val="22"/>
              </w:rPr>
              <w:t>+0.5%</w:t>
            </w:r>
          </w:p>
        </w:tc>
        <w:tc>
          <w:tcPr>
            <w:tcW w:type="dxa" w:w="1234"/>
          </w:tcPr>
          <w:p>
            <w:r>
              <w:rPr>
                <w:rFonts w:ascii="Calibri" w:hAnsi="Calibri"/>
                <w:sz w:val="22"/>
              </w:rPr>
              <w:t>-4.0%</w:t>
            </w:r>
          </w:p>
        </w:tc>
        <w:tc>
          <w:tcPr>
            <w:tcW w:type="dxa" w:w="1234"/>
          </w:tcPr>
          <w:p>
            <w:r>
              <w:rPr>
                <w:rFonts w:ascii="Calibri" w:hAnsi="Calibri"/>
                <w:sz w:val="22"/>
              </w:rPr>
              <w:t>+1.4%</w:t>
            </w:r>
          </w:p>
        </w:tc>
        <w:tc>
          <w:tcPr>
            <w:tcW w:type="dxa" w:w="1234"/>
          </w:tcPr>
          <w:p>
            <w:r>
              <w:rPr>
                <w:rFonts w:ascii="Calibri" w:hAnsi="Calibri"/>
                <w:sz w:val="22"/>
              </w:rPr>
              <w:t>+540 bps YoY</w:t>
            </w:r>
          </w:p>
        </w:tc>
        <w:tc>
          <w:tcPr>
            <w:tcW w:type="dxa" w:w="1234"/>
          </w:tcPr>
          <w:p>
            <w:r>
              <w:rPr>
                <w:rFonts w:ascii="Calibri" w:hAnsi="Calibri"/>
                <w:sz w:val="22"/>
              </w:rPr>
              <w:t>~+1%</w:t>
            </w:r>
          </w:p>
        </w:tc>
        <w:tc>
          <w:tcPr>
            <w:tcW w:type="dxa" w:w="1234"/>
          </w:tcPr>
          <w:p>
            <w:r>
              <w:rPr>
                <w:rFonts w:ascii="Calibri" w:hAnsi="Calibri"/>
                <w:sz w:val="22"/>
              </w:rPr>
              <w:t>+~40 bps above guide midpoint</w:t>
            </w:r>
          </w:p>
        </w:tc>
      </w:tr>
      <w:tr>
        <w:tc>
          <w:tcPr>
            <w:tcW w:type="dxa" w:w="1234"/>
          </w:tcPr>
          <w:p>
            <w:r>
              <w:rPr>
                <w:rFonts w:ascii="Calibri" w:hAnsi="Calibri"/>
                <w:sz w:val="22"/>
              </w:rPr>
              <w:t>Same-Store Traffic (%)</w:t>
            </w:r>
          </w:p>
        </w:tc>
        <w:tc>
          <w:tcPr>
            <w:tcW w:type="dxa" w:w="1234"/>
          </w:tcPr>
          <w:p>
            <w:r>
              <w:rPr>
                <w:rFonts w:ascii="Calibri" w:hAnsi="Calibri"/>
                <w:sz w:val="22"/>
              </w:rPr>
              <w:t>+0.6%</w:t>
            </w:r>
          </w:p>
        </w:tc>
        <w:tc>
          <w:tcPr>
            <w:tcW w:type="dxa" w:w="1234"/>
          </w:tcPr>
          <w:p>
            <w:r>
              <w:rPr>
                <w:rFonts w:ascii="Calibri" w:hAnsi="Calibri"/>
                <w:sz w:val="22"/>
              </w:rPr>
              <w:t>-4.9%</w:t>
            </w:r>
          </w:p>
        </w:tc>
        <w:tc>
          <w:tcPr>
            <w:tcW w:type="dxa" w:w="1234"/>
          </w:tcPr>
          <w:p>
            <w:r>
              <w:rPr>
                <w:rFonts w:ascii="Calibri" w:hAnsi="Calibri"/>
                <w:sz w:val="22"/>
              </w:rPr>
              <w:t>+0.4%</w:t>
            </w:r>
          </w:p>
        </w:tc>
        <w:tc>
          <w:tcPr>
            <w:tcW w:type="dxa" w:w="1234"/>
          </w:tcPr>
          <w:p>
            <w:r>
              <w:rPr>
                <w:rFonts w:ascii="Calibri" w:hAnsi="Calibri"/>
                <w:sz w:val="22"/>
              </w:rPr>
              <w:t>+530 bps YoY</w:t>
            </w:r>
          </w:p>
        </w:tc>
        <w:tc>
          <w:tcPr>
            <w:tcW w:type="dxa" w:w="1234"/>
          </w:tcPr>
          <w:p>
            <w:r>
              <w:rPr>
                <w:rFonts w:ascii="Calibri" w:hAnsi="Calibri"/>
                <w:sz w:val="22"/>
              </w:rPr>
              <w:t>Positive transactions expected</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$0.240</w:t>
            </w:r>
          </w:p>
        </w:tc>
        <w:tc>
          <w:tcPr>
            <w:tcW w:type="dxa" w:w="1234"/>
          </w:tcPr>
          <w:p>
            <w:r>
              <w:rPr>
                <w:rFonts w:ascii="Calibri" w:hAnsi="Calibri"/>
                <w:sz w:val="22"/>
              </w:rPr>
              <w:t>$0.330</w:t>
            </w:r>
          </w:p>
        </w:tc>
        <w:tc>
          <w:tcPr>
            <w:tcW w:type="dxa" w:w="1234"/>
          </w:tcPr>
          <w:p>
            <w:r>
              <w:rPr>
                <w:rFonts w:ascii="Calibri" w:hAnsi="Calibri"/>
                <w:sz w:val="22"/>
              </w:rPr>
              <w:t>$0.320</w:t>
            </w:r>
          </w:p>
        </w:tc>
        <w:tc>
          <w:tcPr>
            <w:tcW w:type="dxa" w:w="1234"/>
          </w:tcPr>
          <w:p>
            <w:r>
              <w:rPr>
                <w:rFonts w:ascii="Calibri" w:hAnsi="Calibri"/>
                <w:sz w:val="22"/>
              </w:rPr>
              <w:t>-3.0% YoY</w:t>
            </w:r>
          </w:p>
        </w:tc>
        <w:tc>
          <w:tcPr>
            <w:tcW w:type="dxa" w:w="1234"/>
          </w:tcPr>
          <w:p>
            <w:r>
              <w:rPr>
                <w:rFonts w:ascii="Calibri" w:hAnsi="Calibri"/>
                <w:sz w:val="22"/>
              </w:rPr>
              <w:t>No explicit EPS guide</w:t>
            </w:r>
          </w:p>
        </w:tc>
        <w:tc>
          <w:tcPr>
            <w:tcW w:type="dxa" w:w="1234"/>
          </w:tcPr>
          <w:p>
            <w:r>
              <w:rPr>
                <w:rFonts w:ascii="Calibri" w:hAnsi="Calibri"/>
                <w:sz w:val="22"/>
              </w:rPr>
              <w:t>N/A</w:t>
            </w:r>
          </w:p>
        </w:tc>
      </w:tr>
      <w:tr>
        <w:tc>
          <w:tcPr>
            <w:tcW w:type="dxa" w:w="1234"/>
          </w:tcPr>
          <w:p>
            <w:r>
              <w:rPr>
                <w:rFonts w:ascii="Calibri" w:hAnsi="Calibri"/>
                <w:sz w:val="22"/>
              </w:rPr>
              <w:t>Restaurant-Level Operating Margin (%)</w:t>
            </w:r>
          </w:p>
        </w:tc>
        <w:tc>
          <w:tcPr>
            <w:tcW w:type="dxa" w:w="1234"/>
          </w:tcPr>
          <w:p>
            <w:r>
              <w:rPr>
                <w:rFonts w:ascii="Calibri" w:hAnsi="Calibri"/>
                <w:sz w:val="22"/>
              </w:rPr>
              <w:t>23.7%</w:t>
            </w:r>
          </w:p>
        </w:tc>
        <w:tc>
          <w:tcPr>
            <w:tcW w:type="dxa" w:w="1234"/>
          </w:tcPr>
          <w:p>
            <w:r>
              <w:rPr>
                <w:rFonts w:ascii="Calibri" w:hAnsi="Calibri"/>
                <w:sz w:val="22"/>
              </w:rPr>
              <w:t>27.4%</w:t>
            </w:r>
          </w:p>
        </w:tc>
        <w:tc>
          <w:tcPr>
            <w:tcW w:type="dxa" w:w="1234"/>
          </w:tcPr>
          <w:p>
            <w:r>
              <w:rPr>
                <w:rFonts w:ascii="Calibri" w:hAnsi="Calibri"/>
                <w:sz w:val="22"/>
              </w:rPr>
              <w:t>25.0%</w:t>
            </w:r>
          </w:p>
        </w:tc>
        <w:tc>
          <w:tcPr>
            <w:tcW w:type="dxa" w:w="1234"/>
          </w:tcPr>
          <w:p>
            <w:r>
              <w:rPr>
                <w:rFonts w:ascii="Calibri" w:hAnsi="Calibri"/>
                <w:sz w:val="22"/>
              </w:rPr>
              <w:t>-240 bps YoY</w:t>
            </w:r>
          </w:p>
        </w:tc>
        <w:tc>
          <w:tcPr>
            <w:tcW w:type="dxa" w:w="1234"/>
          </w:tcPr>
          <w:p>
            <w:r>
              <w:rPr>
                <w:rFonts w:ascii="Calibri" w:hAnsi="Calibri"/>
                <w:sz w:val="22"/>
              </w:rPr>
              <w:t>Cost of sales ~30%; labor low-25% range; other opex high-14% range</w:t>
            </w:r>
          </w:p>
        </w:tc>
        <w:tc>
          <w:tcPr>
            <w:tcW w:type="dxa" w:w="1234"/>
          </w:tcPr>
          <w:p>
            <w:r>
              <w:rPr>
                <w:rFonts w:ascii="Calibri" w:hAnsi="Calibri"/>
                <w:sz w:val="22"/>
              </w:rPr>
              <w:t>In line with guidance</w:t>
            </w:r>
          </w:p>
        </w:tc>
      </w:tr>
      <w:tr>
        <w:tc>
          <w:tcPr>
            <w:tcW w:type="dxa" w:w="1234"/>
          </w:tcPr>
          <w:p>
            <w:r>
              <w:rPr>
                <w:rFonts w:ascii="Calibri" w:hAnsi="Calibri"/>
                <w:sz w:val="22"/>
              </w:rPr>
              <w:t>New Restaurant Openings (#)</w:t>
            </w:r>
          </w:p>
        </w:tc>
        <w:tc>
          <w:tcPr>
            <w:tcW w:type="dxa" w:w="1234"/>
          </w:tcPr>
          <w:p>
            <w:r>
              <w:rPr>
                <w:rFonts w:ascii="Calibri" w:hAnsi="Calibri"/>
                <w:sz w:val="22"/>
              </w:rPr>
              <w:t>49</w:t>
            </w:r>
          </w:p>
        </w:tc>
        <w:tc>
          <w:tcPr>
            <w:tcW w:type="dxa" w:w="1234"/>
          </w:tcPr>
          <w:p>
            <w:r>
              <w:rPr>
                <w:rFonts w:ascii="Calibri" w:hAnsi="Calibri"/>
                <w:sz w:val="22"/>
              </w:rPr>
              <w:t>61</w:t>
            </w:r>
          </w:p>
        </w:tc>
        <w:tc>
          <w:tcPr>
            <w:tcW w:type="dxa" w:w="1234"/>
          </w:tcPr>
          <w:p>
            <w:r>
              <w:rPr>
                <w:rFonts w:ascii="Calibri" w:hAnsi="Calibri"/>
                <w:sz w:val="22"/>
              </w:rPr>
              <w:t>75</w:t>
            </w:r>
          </w:p>
        </w:tc>
        <w:tc>
          <w:tcPr>
            <w:tcW w:type="dxa" w:w="1234"/>
          </w:tcPr>
          <w:p>
            <w:r>
              <w:rPr>
                <w:rFonts w:ascii="Calibri" w:hAnsi="Calibri"/>
                <w:sz w:val="22"/>
              </w:rPr>
              <w:t>+23% YoY</w:t>
            </w:r>
          </w:p>
        </w:tc>
        <w:tc>
          <w:tcPr>
            <w:tcW w:type="dxa" w:w="1234"/>
          </w:tcPr>
          <w:p>
            <w:r>
              <w:rPr>
                <w:rFonts w:ascii="Calibri" w:hAnsi="Calibri"/>
                <w:sz w:val="22"/>
              </w:rPr>
              <w:t>~350 for full year</w:t>
            </w:r>
          </w:p>
        </w:tc>
        <w:tc>
          <w:tcPr>
            <w:tcW w:type="dxa" w:w="1234"/>
          </w:tcPr>
          <w:p>
            <w:r>
              <w:rPr>
                <w:rFonts w:ascii="Calibri" w:hAnsi="Calibri"/>
                <w:sz w:val="22"/>
              </w:rPr>
              <w:t>On track</w:t>
            </w:r>
          </w:p>
        </w:tc>
      </w:tr>
      <w:tr>
        <w:tc>
          <w:tcPr>
            <w:tcW w:type="dxa" w:w="1234"/>
          </w:tcPr>
          <w:p>
            <w:r>
              <w:rPr>
                <w:rFonts w:ascii="Calibri" w:hAnsi="Calibri"/>
                <w:sz w:val="22"/>
              </w:rPr>
              <w:t>Digital Sales ($B)</w:t>
            </w:r>
          </w:p>
        </w:tc>
        <w:tc>
          <w:tcPr>
            <w:tcW w:type="dxa" w:w="1234"/>
          </w:tcPr>
          <w:p>
            <w:r>
              <w:rPr>
                <w:rFonts w:ascii="Calibri" w:hAnsi="Calibri"/>
                <w:sz w:val="22"/>
              </w:rPr>
              <w:t>$1.186B (38.6% of sales)</w:t>
            </w:r>
          </w:p>
        </w:tc>
        <w:tc>
          <w:tcPr>
            <w:tcW w:type="dxa" w:w="1234"/>
          </w:tcPr>
          <w:p>
            <w:r>
              <w:rPr>
                <w:rFonts w:ascii="Calibri" w:hAnsi="Calibri"/>
                <w:sz w:val="22"/>
              </w:rPr>
              <w:t>$1.082B (35.3% of sales)</w:t>
            </w:r>
          </w:p>
        </w:tc>
        <w:tc>
          <w:tcPr>
            <w:tcW w:type="dxa" w:w="1234"/>
          </w:tcPr>
          <w:p>
            <w:r>
              <w:rPr>
                <w:rFonts w:ascii="Calibri" w:hAnsi="Calibri"/>
                <w:sz w:val="22"/>
              </w:rPr>
              <w:t>$1.245B</w:t>
            </w:r>
          </w:p>
        </w:tc>
        <w:tc>
          <w:tcPr>
            <w:tcW w:type="dxa" w:w="1234"/>
          </w:tcPr>
          <w:p>
            <w:r>
              <w:rPr>
                <w:rFonts w:ascii="Calibri" w:hAnsi="Calibri"/>
                <w:sz w:val="22"/>
              </w:rPr>
              <w:t>+15.1% YoY</w:t>
            </w:r>
          </w:p>
        </w:tc>
        <w:tc>
          <w:tcPr>
            <w:tcW w:type="dxa" w:w="1234"/>
          </w:tcPr>
          <w:p>
            <w:r>
              <w:rPr>
                <w:rFonts w:ascii="Calibri" w:hAnsi="Calibri"/>
                <w:sz w:val="22"/>
              </w:rPr>
              <w:t>No explicit guide; loyalty penetration expanding</w:t>
            </w:r>
          </w:p>
        </w:tc>
        <w:tc>
          <w:tcPr>
            <w:tcW w:type="dxa" w:w="1234"/>
          </w:tcPr>
          <w:p>
            <w:r>
              <w:rPr>
                <w:rFonts w:ascii="Calibri" w:hAnsi="Calibri"/>
                <w:sz w:val="22"/>
              </w:rPr>
              <w:t>In line</w:t>
            </w:r>
          </w:p>
        </w:tc>
      </w:tr>
    </w:tbl>
    <w:p>
      <w:r>
        <w:rPr>
          <w:rFonts w:ascii="Calibri" w:hAnsi="Calibri"/>
          <w:i/>
          <w:color w:val="525866"/>
          <w:sz w:val="22"/>
        </w:rPr>
        <w:t>Sources: Visible Alpha Consensus and Actuals Data; CMG Q1 2026 Earnings Call (April 29, 2026). Prior year actuals from Visible Alpha. Q2 2026 consensus as of July 28, 2026.</w:t>
      </w:r>
    </w:p>
    <w:p>
      <w:pPr>
        <w:pStyle w:val="Heading3"/>
      </w:pPr>
      <w:r>
        <w:rPr>
          <w:rFonts w:ascii="Calibri" w:hAnsi="Calibri"/>
          <w:b/>
          <w:color w:val="3B4259"/>
          <w:sz w:val="24"/>
        </w:rPr>
        <w:t>Table 2 — Beat/Miss History: Last 8 Quarters (Comparable Restaurant Sales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Comp SSS</w:t>
            </w:r>
          </w:p>
        </w:tc>
        <w:tc>
          <w:tcPr>
            <w:tcW w:type="dxa" w:w="1440"/>
          </w:tcPr>
          <w:p>
            <w:r>
              <w:rPr>
                <w:rFonts w:ascii="Calibri" w:hAnsi="Calibri"/>
                <w:sz w:val="22"/>
              </w:rPr>
              <w:t>+0.5%</w:t>
            </w:r>
          </w:p>
        </w:tc>
        <w:tc>
          <w:tcPr>
            <w:tcW w:type="dxa" w:w="1440"/>
          </w:tcPr>
          <w:p>
            <w:r>
              <w:rPr>
                <w:rFonts w:ascii="Calibri" w:hAnsi="Calibri"/>
                <w:sz w:val="22"/>
              </w:rPr>
              <w:t>-0.75%</w:t>
            </w:r>
          </w:p>
        </w:tc>
        <w:tc>
          <w:tcPr>
            <w:tcW w:type="dxa" w:w="1440"/>
          </w:tcPr>
          <w:p>
            <w:r>
              <w:rPr>
                <w:rFonts w:ascii="Calibri" w:hAnsi="Calibri"/>
                <w:sz w:val="22"/>
              </w:rPr>
              <w:t>+125 bps</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$0.240</w:t>
            </w:r>
          </w:p>
        </w:tc>
        <w:tc>
          <w:tcPr>
            <w:tcW w:type="dxa" w:w="1440"/>
          </w:tcPr>
          <w:p>
            <w:r>
              <w:rPr>
                <w:rFonts w:ascii="Calibri" w:hAnsi="Calibri"/>
                <w:sz w:val="22"/>
              </w:rPr>
              <w:t>$0.238</w:t>
            </w:r>
          </w:p>
        </w:tc>
        <w:tc>
          <w:tcPr>
            <w:tcW w:type="dxa" w:w="1440"/>
          </w:tcPr>
          <w:p>
            <w:r>
              <w:rPr>
                <w:rFonts w:ascii="Calibri" w:hAnsi="Calibri"/>
                <w:sz w:val="22"/>
              </w:rPr>
              <w:t>+0.8%</w:t>
            </w:r>
          </w:p>
        </w:tc>
        <w:tc>
          <w:tcPr>
            <w:tcW w:type="dxa" w:w="1440"/>
          </w:tcPr>
          <w:p>
            <w:r>
              <w:rPr>
                <w:rFonts w:ascii="Calibri" w:hAnsi="Calibri"/>
                <w:b/>
                <w:color w:val="30A46C"/>
                <w:sz w:val="22"/>
              </w:rPr>
              <w:t>In Line</w:t>
            </w:r>
          </w:p>
        </w:tc>
      </w:tr>
      <w:tr>
        <w:tc>
          <w:tcPr>
            <w:tcW w:type="dxa" w:w="1440"/>
          </w:tcPr>
          <w:p>
            <w:r>
              <w:rPr>
                <w:rFonts w:ascii="Calibri" w:hAnsi="Calibri"/>
                <w:sz w:val="22"/>
              </w:rPr>
              <w:t>Q4 2025</w:t>
            </w:r>
          </w:p>
        </w:tc>
        <w:tc>
          <w:tcPr>
            <w:tcW w:type="dxa" w:w="1440"/>
          </w:tcPr>
          <w:p>
            <w:r>
              <w:rPr>
                <w:rFonts w:ascii="Calibri" w:hAnsi="Calibri"/>
                <w:sz w:val="22"/>
              </w:rPr>
              <w:t>Comp SSS</w:t>
            </w:r>
          </w:p>
        </w:tc>
        <w:tc>
          <w:tcPr>
            <w:tcW w:type="dxa" w:w="1440"/>
          </w:tcPr>
          <w:p>
            <w:r>
              <w:rPr>
                <w:rFonts w:ascii="Calibri" w:hAnsi="Calibri"/>
                <w:sz w:val="22"/>
              </w:rPr>
              <w:t>-2.5%</w:t>
            </w:r>
          </w:p>
        </w:tc>
        <w:tc>
          <w:tcPr>
            <w:tcW w:type="dxa" w:w="1440"/>
          </w:tcPr>
          <w:p>
            <w:r>
              <w:rPr>
                <w:rFonts w:ascii="Calibri" w:hAnsi="Calibri"/>
                <w:sz w:val="22"/>
              </w:rPr>
              <w:t>-2.96%</w:t>
            </w:r>
          </w:p>
        </w:tc>
        <w:tc>
          <w:tcPr>
            <w:tcW w:type="dxa" w:w="1440"/>
          </w:tcPr>
          <w:p>
            <w:r>
              <w:rPr>
                <w:rFonts w:ascii="Calibri" w:hAnsi="Calibri"/>
                <w:sz w:val="22"/>
              </w:rPr>
              <w:t>+46 bps</w:t>
            </w:r>
          </w:p>
        </w:tc>
        <w:tc>
          <w:tcPr>
            <w:tcW w:type="dxa" w:w="1440"/>
          </w:tcPr>
          <w:p>
            <w:r>
              <w:rPr>
                <w:rFonts w:ascii="Calibri" w:hAnsi="Calibri"/>
                <w:b/>
                <w:color w:val="30A46C"/>
                <w:sz w:val="22"/>
              </w:rPr>
              <w:t>Slight 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$0.250</w:t>
            </w:r>
          </w:p>
        </w:tc>
        <w:tc>
          <w:tcPr>
            <w:tcW w:type="dxa" w:w="1440"/>
          </w:tcPr>
          <w:p>
            <w:r>
              <w:rPr>
                <w:rFonts w:ascii="Calibri" w:hAnsi="Calibri"/>
                <w:sz w:val="22"/>
              </w:rPr>
              <w:t>$0.239</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Comp SSS</w:t>
            </w:r>
          </w:p>
        </w:tc>
        <w:tc>
          <w:tcPr>
            <w:tcW w:type="dxa" w:w="1440"/>
          </w:tcPr>
          <w:p>
            <w:r>
              <w:rPr>
                <w:rFonts w:ascii="Calibri" w:hAnsi="Calibri"/>
                <w:sz w:val="22"/>
              </w:rPr>
              <w:t>+0.3%</w:t>
            </w:r>
          </w:p>
        </w:tc>
        <w:tc>
          <w:tcPr>
            <w:tcW w:type="dxa" w:w="1440"/>
          </w:tcPr>
          <w:p>
            <w:r>
              <w:rPr>
                <w:rFonts w:ascii="Calibri" w:hAnsi="Calibri"/>
                <w:sz w:val="22"/>
              </w:rPr>
              <w:t>+0.51%</w:t>
            </w:r>
          </w:p>
        </w:tc>
        <w:tc>
          <w:tcPr>
            <w:tcW w:type="dxa" w:w="1440"/>
          </w:tcPr>
          <w:p>
            <w:r>
              <w:rPr>
                <w:rFonts w:ascii="Calibri" w:hAnsi="Calibri"/>
                <w:sz w:val="22"/>
              </w:rPr>
              <w:t>-21 bps</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$0.290</w:t>
            </w:r>
          </w:p>
        </w:tc>
        <w:tc>
          <w:tcPr>
            <w:tcW w:type="dxa" w:w="1440"/>
          </w:tcPr>
          <w:p>
            <w:r>
              <w:rPr>
                <w:rFonts w:ascii="Calibri" w:hAnsi="Calibri"/>
                <w:sz w:val="22"/>
              </w:rPr>
              <w:t>$0.286</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Comp SSS</w:t>
            </w:r>
          </w:p>
        </w:tc>
        <w:tc>
          <w:tcPr>
            <w:tcW w:type="dxa" w:w="1440"/>
          </w:tcPr>
          <w:p>
            <w:r>
              <w:rPr>
                <w:rFonts w:ascii="Calibri" w:hAnsi="Calibri"/>
                <w:sz w:val="22"/>
              </w:rPr>
              <w:t>-4.0%</w:t>
            </w:r>
          </w:p>
        </w:tc>
        <w:tc>
          <w:tcPr>
            <w:tcW w:type="dxa" w:w="1440"/>
          </w:tcPr>
          <w:p>
            <w:r>
              <w:rPr>
                <w:rFonts w:ascii="Calibri" w:hAnsi="Calibri"/>
                <w:sz w:val="22"/>
              </w:rPr>
              <w:t>-2.83%</w:t>
            </w:r>
          </w:p>
        </w:tc>
        <w:tc>
          <w:tcPr>
            <w:tcW w:type="dxa" w:w="1440"/>
          </w:tcPr>
          <w:p>
            <w:r>
              <w:rPr>
                <w:rFonts w:ascii="Calibri" w:hAnsi="Calibri"/>
                <w:sz w:val="22"/>
              </w:rPr>
              <w:t>-117 bps</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$0.330</w:t>
            </w:r>
          </w:p>
        </w:tc>
        <w:tc>
          <w:tcPr>
            <w:tcW w:type="dxa" w:w="1440"/>
          </w:tcPr>
          <w:p>
            <w:r>
              <w:rPr>
                <w:rFonts w:ascii="Calibri" w:hAnsi="Calibri"/>
                <w:sz w:val="22"/>
              </w:rPr>
              <w:t>$0.326</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Comp SSS</w:t>
            </w:r>
          </w:p>
        </w:tc>
        <w:tc>
          <w:tcPr>
            <w:tcW w:type="dxa" w:w="1440"/>
          </w:tcPr>
          <w:p>
            <w:r>
              <w:rPr>
                <w:rFonts w:ascii="Calibri" w:hAnsi="Calibri"/>
                <w:sz w:val="22"/>
              </w:rPr>
              <w:t>-0.4%</w:t>
            </w:r>
          </w:p>
        </w:tc>
        <w:tc>
          <w:tcPr>
            <w:tcW w:type="dxa" w:w="1440"/>
          </w:tcPr>
          <w:p>
            <w:r>
              <w:rPr>
                <w:rFonts w:ascii="Calibri" w:hAnsi="Calibri"/>
                <w:sz w:val="22"/>
              </w:rPr>
              <w:t>+1.52%</w:t>
            </w:r>
          </w:p>
        </w:tc>
        <w:tc>
          <w:tcPr>
            <w:tcW w:type="dxa" w:w="1440"/>
          </w:tcPr>
          <w:p>
            <w:r>
              <w:rPr>
                <w:rFonts w:ascii="Calibri" w:hAnsi="Calibri"/>
                <w:sz w:val="22"/>
              </w:rPr>
              <w:t>-192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$0.292</w:t>
            </w:r>
          </w:p>
        </w:tc>
        <w:tc>
          <w:tcPr>
            <w:tcW w:type="dxa" w:w="1440"/>
          </w:tcPr>
          <w:p>
            <w:r>
              <w:rPr>
                <w:rFonts w:ascii="Calibri" w:hAnsi="Calibri"/>
                <w:sz w:val="22"/>
              </w:rPr>
              <w:t>$0.276</w:t>
            </w:r>
          </w:p>
        </w:tc>
        <w:tc>
          <w:tcPr>
            <w:tcW w:type="dxa" w:w="1440"/>
          </w:tcPr>
          <w:p>
            <w:r>
              <w:rPr>
                <w:rFonts w:ascii="Calibri" w:hAnsi="Calibri"/>
                <w:sz w:val="22"/>
              </w:rPr>
              <w:t>+5.8%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Comp SSS</w:t>
            </w:r>
          </w:p>
        </w:tc>
        <w:tc>
          <w:tcPr>
            <w:tcW w:type="dxa" w:w="1440"/>
          </w:tcPr>
          <w:p>
            <w:r>
              <w:rPr>
                <w:rFonts w:ascii="Calibri" w:hAnsi="Calibri"/>
                <w:sz w:val="22"/>
              </w:rPr>
              <w:t>+5.4%</w:t>
            </w:r>
          </w:p>
        </w:tc>
        <w:tc>
          <w:tcPr>
            <w:tcW w:type="dxa" w:w="1440"/>
          </w:tcPr>
          <w:p>
            <w:r>
              <w:rPr>
                <w:rFonts w:ascii="Calibri" w:hAnsi="Calibri"/>
                <w:sz w:val="22"/>
              </w:rPr>
              <w:t>+5.62%</w:t>
            </w:r>
          </w:p>
        </w:tc>
        <w:tc>
          <w:tcPr>
            <w:tcW w:type="dxa" w:w="1440"/>
          </w:tcPr>
          <w:p>
            <w:r>
              <w:rPr>
                <w:rFonts w:ascii="Calibri" w:hAnsi="Calibri"/>
                <w:sz w:val="22"/>
              </w:rPr>
              <w:t>-22 bps</w:t>
            </w:r>
          </w:p>
        </w:tc>
        <w:tc>
          <w:tcPr>
            <w:tcW w:type="dxa" w:w="1440"/>
          </w:tcPr>
          <w:p>
            <w:r>
              <w:rPr>
                <w:rFonts w:ascii="Calibri" w:hAnsi="Calibri"/>
                <w:b/>
                <w:color w:val="30A46C"/>
                <w:sz w:val="22"/>
              </w:rPr>
              <w:t>In Line</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$0.250</w:t>
            </w:r>
          </w:p>
        </w:tc>
        <w:tc>
          <w:tcPr>
            <w:tcW w:type="dxa" w:w="1440"/>
          </w:tcPr>
          <w:p>
            <w:r>
              <w:rPr>
                <w:rFonts w:ascii="Calibri" w:hAnsi="Calibri"/>
                <w:sz w:val="22"/>
              </w:rPr>
              <w:t>$0.245</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Comp SSS</w:t>
            </w:r>
          </w:p>
        </w:tc>
        <w:tc>
          <w:tcPr>
            <w:tcW w:type="dxa" w:w="1440"/>
          </w:tcPr>
          <w:p>
            <w:r>
              <w:rPr>
                <w:rFonts w:ascii="Calibri" w:hAnsi="Calibri"/>
                <w:sz w:val="22"/>
              </w:rPr>
              <w:t>+6.0%</w:t>
            </w:r>
          </w:p>
        </w:tc>
        <w:tc>
          <w:tcPr>
            <w:tcW w:type="dxa" w:w="1440"/>
          </w:tcPr>
          <w:p>
            <w:r>
              <w:rPr>
                <w:rFonts w:ascii="Calibri" w:hAnsi="Calibri"/>
                <w:sz w:val="22"/>
              </w:rPr>
              <w:t>+6.20%</w:t>
            </w:r>
          </w:p>
        </w:tc>
        <w:tc>
          <w:tcPr>
            <w:tcW w:type="dxa" w:w="1440"/>
          </w:tcPr>
          <w:p>
            <w:r>
              <w:rPr>
                <w:rFonts w:ascii="Calibri" w:hAnsi="Calibri"/>
                <w:sz w:val="22"/>
              </w:rPr>
              <w:t>-20 bps</w:t>
            </w:r>
          </w:p>
        </w:tc>
        <w:tc>
          <w:tcPr>
            <w:tcW w:type="dxa" w:w="1440"/>
          </w:tcPr>
          <w:p>
            <w:r>
              <w:rPr>
                <w:rFonts w:ascii="Calibri" w:hAnsi="Calibri"/>
                <w:b/>
                <w:color w:val="30A46C"/>
                <w:sz w:val="22"/>
              </w:rPr>
              <w:t>In 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$0.267</w:t>
            </w:r>
          </w:p>
        </w:tc>
        <w:tc>
          <w:tcPr>
            <w:tcW w:type="dxa" w:w="1440"/>
          </w:tcPr>
          <w:p>
            <w:r>
              <w:rPr>
                <w:rFonts w:ascii="Calibri" w:hAnsi="Calibri"/>
                <w:sz w:val="22"/>
              </w:rPr>
              <w:t>$0.252</w:t>
            </w:r>
          </w:p>
        </w:tc>
        <w:tc>
          <w:tcPr>
            <w:tcW w:type="dxa" w:w="1440"/>
          </w:tcPr>
          <w:p>
            <w:r>
              <w:rPr>
                <w:rFonts w:ascii="Calibri" w:hAnsi="Calibri"/>
                <w:sz w:val="22"/>
              </w:rPr>
              <w:t>+5.9%</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CMG has consistently beaten or matched on Adj. EPS over the last 8 quarters; the comp line is more volatile, with three misses concentrated in the traffic-challenged period (Q1–Q2 2025), but Q1 2026 marked a clear positive inflection. The Street has learned to set a low comp bar, which creates asymmetric upside if traffic momentum continues.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 the full-year flat comp guide stands — but management's tone has shifted meaningfully more constructive, with Q2 guided to ~+1% and the Bernstein conference (May 28) reinforcing confidence in a "mid-single-digit comp" path into 2027; the gap between guidance and actual trends represents deliberate conservatism, not deterioration.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Comp SSS</w:t>
            </w:r>
          </w:p>
        </w:tc>
        <w:tc>
          <w:tcPr>
            <w:tcW w:type="dxa" w:w="1728"/>
          </w:tcPr>
          <w:p>
            <w:r>
              <w:rPr>
                <w:rFonts w:ascii="Calibri" w:hAnsi="Calibri"/>
                <w:sz w:val="22"/>
              </w:rPr>
              <w:t>~+1%</w:t>
            </w:r>
          </w:p>
        </w:tc>
        <w:tc>
          <w:tcPr>
            <w:tcW w:type="dxa" w:w="1728"/>
          </w:tcPr>
          <w:p>
            <w:r>
              <w:rPr>
                <w:rFonts w:ascii="Calibri" w:hAnsi="Calibri"/>
                <w:sz w:val="22"/>
              </w:rPr>
              <w:t>—</w:t>
            </w:r>
          </w:p>
        </w:tc>
        <w:tc>
          <w:tcPr>
            <w:tcW w:type="dxa" w:w="1728"/>
          </w:tcPr>
          <w:p>
            <w:r>
              <w:rPr>
                <w:rFonts w:ascii="Calibri" w:hAnsi="Calibri"/>
                <w:sz w:val="22"/>
              </w:rPr>
              <w:t>+1.4%</w:t>
            </w:r>
          </w:p>
        </w:tc>
        <w:tc>
          <w:tcPr>
            <w:tcW w:type="dxa" w:w="1728"/>
          </w:tcPr>
          <w:p>
            <w:r>
              <w:rPr>
                <w:rFonts w:ascii="Calibri" w:hAnsi="Calibri"/>
                <w:sz w:val="22"/>
              </w:rPr>
              <w:t>Consensus slightly above guide midpoint; management cited Chipotle Honey Chicken as modest upside driver</w:t>
            </w:r>
          </w:p>
        </w:tc>
      </w:tr>
      <w:tr>
        <w:tc>
          <w:tcPr>
            <w:tcW w:type="dxa" w:w="1728"/>
          </w:tcPr>
          <w:p>
            <w:r>
              <w:rPr>
                <w:rFonts w:ascii="Calibri" w:hAnsi="Calibri"/>
                <w:sz w:val="22"/>
              </w:rPr>
              <w:t>FY 2026 Comp SSS</w:t>
            </w:r>
          </w:p>
        </w:tc>
        <w:tc>
          <w:tcPr>
            <w:tcW w:type="dxa" w:w="1728"/>
          </w:tcPr>
          <w:p>
            <w:r>
              <w:rPr>
                <w:rFonts w:ascii="Calibri" w:hAnsi="Calibri"/>
                <w:sz w:val="22"/>
              </w:rPr>
              <w:t>~Flat</w:t>
            </w:r>
          </w:p>
        </w:tc>
        <w:tc>
          <w:tcPr>
            <w:tcW w:type="dxa" w:w="1728"/>
          </w:tcPr>
          <w:p>
            <w:r>
              <w:rPr>
                <w:rFonts w:ascii="Calibri" w:hAnsi="Calibri"/>
                <w:sz w:val="22"/>
              </w:rPr>
              <w:t>—</w:t>
            </w:r>
          </w:p>
        </w:tc>
        <w:tc>
          <w:tcPr>
            <w:tcW w:type="dxa" w:w="1728"/>
          </w:tcPr>
          <w:p>
            <w:r>
              <w:rPr>
                <w:rFonts w:ascii="Calibri" w:hAnsi="Calibri"/>
                <w:sz w:val="22"/>
              </w:rPr>
              <w:t>+1.5%</w:t>
            </w:r>
          </w:p>
        </w:tc>
        <w:tc>
          <w:tcPr>
            <w:tcW w:type="dxa" w:w="1728"/>
          </w:tcPr>
          <w:p>
            <w:r>
              <w:rPr>
                <w:rFonts w:ascii="Calibri" w:hAnsi="Calibri"/>
                <w:sz w:val="22"/>
              </w:rPr>
              <w:t>Consensus above guide; management acknowledged trending above flat but maintained conservative baseline citing dynamic consumer environment</w:t>
            </w:r>
          </w:p>
        </w:tc>
      </w:tr>
      <w:tr>
        <w:tc>
          <w:tcPr>
            <w:tcW w:type="dxa" w:w="1728"/>
          </w:tcPr>
          <w:p>
            <w:r>
              <w:rPr>
                <w:rFonts w:ascii="Calibri" w:hAnsi="Calibri"/>
                <w:sz w:val="22"/>
              </w:rPr>
              <w:t>Q2 2026 Cost of Sales</w:t>
            </w:r>
          </w:p>
        </w:tc>
        <w:tc>
          <w:tcPr>
            <w:tcW w:type="dxa" w:w="1728"/>
          </w:tcPr>
          <w:p>
            <w:r>
              <w:rPr>
                <w:rFonts w:ascii="Calibri" w:hAnsi="Calibri"/>
                <w:sz w:val="22"/>
              </w:rPr>
              <w:t>~30% of sales</w:t>
            </w:r>
          </w:p>
        </w:tc>
        <w:tc>
          <w:tcPr>
            <w:tcW w:type="dxa" w:w="1728"/>
          </w:tcPr>
          <w:p>
            <w:r>
              <w:rPr>
                <w:rFonts w:ascii="Calibri" w:hAnsi="Calibri"/>
                <w:sz w:val="22"/>
              </w:rPr>
              <w:t>—</w:t>
            </w:r>
          </w:p>
        </w:tc>
        <w:tc>
          <w:tcPr>
            <w:tcW w:type="dxa" w:w="1728"/>
          </w:tcPr>
          <w:p>
            <w:r>
              <w:rPr>
                <w:rFonts w:ascii="Calibri" w:hAnsi="Calibri"/>
                <w:sz w:val="22"/>
              </w:rPr>
              <w:t>~30% (implied)</w:t>
            </w:r>
          </w:p>
        </w:tc>
        <w:tc>
          <w:tcPr>
            <w:tcW w:type="dxa" w:w="1728"/>
          </w:tcPr>
          <w:p>
            <w:r>
              <w:rPr>
                <w:rFonts w:ascii="Calibri" w:hAnsi="Calibri"/>
                <w:sz w:val="22"/>
              </w:rPr>
              <w:t>Avocado, dairy, beef inflation stepping up sequentially; confirmed at Bernstein conference (May 28)</w:t>
            </w:r>
          </w:p>
        </w:tc>
      </w:tr>
      <w:tr>
        <w:tc>
          <w:tcPr>
            <w:tcW w:type="dxa" w:w="1728"/>
          </w:tcPr>
          <w:p>
            <w:r>
              <w:rPr>
                <w:rFonts w:ascii="Calibri" w:hAnsi="Calibri"/>
                <w:sz w:val="22"/>
              </w:rPr>
              <w:t>Q2 2026 Labor Cost</w:t>
            </w:r>
          </w:p>
        </w:tc>
        <w:tc>
          <w:tcPr>
            <w:tcW w:type="dxa" w:w="1728"/>
          </w:tcPr>
          <w:p>
            <w:r>
              <w:rPr>
                <w:rFonts w:ascii="Calibri" w:hAnsi="Calibri"/>
                <w:sz w:val="22"/>
              </w:rPr>
              <w:t>Low-25% range</w:t>
            </w:r>
          </w:p>
        </w:tc>
        <w:tc>
          <w:tcPr>
            <w:tcW w:type="dxa" w:w="1728"/>
          </w:tcPr>
          <w:p>
            <w:r>
              <w:rPr>
                <w:rFonts w:ascii="Calibri" w:hAnsi="Calibri"/>
                <w:sz w:val="22"/>
              </w:rPr>
              <w:t>—</w:t>
            </w:r>
          </w:p>
        </w:tc>
        <w:tc>
          <w:tcPr>
            <w:tcW w:type="dxa" w:w="1728"/>
          </w:tcPr>
          <w:p>
            <w:r>
              <w:rPr>
                <w:rFonts w:ascii="Calibri" w:hAnsi="Calibri"/>
                <w:sz w:val="22"/>
              </w:rPr>
              <w:t>~25% (implied)</w:t>
            </w:r>
          </w:p>
        </w:tc>
        <w:tc>
          <w:tcPr>
            <w:tcW w:type="dxa" w:w="1728"/>
          </w:tcPr>
          <w:p>
            <w:r>
              <w:rPr>
                <w:rFonts w:ascii="Calibri" w:hAnsi="Calibri"/>
                <w:sz w:val="22"/>
              </w:rPr>
              <w:t>Wage inflation low-single-digit; reinvesting HEAT equipment efficiency gains into hospitality labor</w:t>
            </w:r>
          </w:p>
        </w:tc>
      </w:tr>
      <w:tr>
        <w:tc>
          <w:tcPr>
            <w:tcW w:type="dxa" w:w="1728"/>
          </w:tcPr>
          <w:p>
            <w:r>
              <w:rPr>
                <w:rFonts w:ascii="Calibri" w:hAnsi="Calibri"/>
                <w:sz w:val="22"/>
              </w:rPr>
              <w:t>Q2 2026 Other OpEx</w:t>
            </w:r>
          </w:p>
        </w:tc>
        <w:tc>
          <w:tcPr>
            <w:tcW w:type="dxa" w:w="1728"/>
          </w:tcPr>
          <w:p>
            <w:r>
              <w:rPr>
                <w:rFonts w:ascii="Calibri" w:hAnsi="Calibri"/>
                <w:sz w:val="22"/>
              </w:rPr>
              <w:t>High-14% range</w:t>
            </w:r>
          </w:p>
        </w:tc>
        <w:tc>
          <w:tcPr>
            <w:tcW w:type="dxa" w:w="1728"/>
          </w:tcPr>
          <w:p>
            <w:r>
              <w:rPr>
                <w:rFonts w:ascii="Calibri" w:hAnsi="Calibri"/>
                <w:sz w:val="22"/>
              </w:rPr>
              <w:t>—</w:t>
            </w:r>
          </w:p>
        </w:tc>
        <w:tc>
          <w:tcPr>
            <w:tcW w:type="dxa" w:w="1728"/>
          </w:tcPr>
          <w:p>
            <w:r>
              <w:rPr>
                <w:rFonts w:ascii="Calibri" w:hAnsi="Calibri"/>
                <w:sz w:val="22"/>
              </w:rPr>
              <w:t>~14-15% (implied)</w:t>
            </w:r>
          </w:p>
        </w:tc>
        <w:tc>
          <w:tcPr>
            <w:tcW w:type="dxa" w:w="1728"/>
          </w:tcPr>
          <w:p>
            <w:r>
              <w:rPr>
                <w:rFonts w:ascii="Calibri" w:hAnsi="Calibri"/>
                <w:sz w:val="22"/>
              </w:rPr>
              <w:t>Marketing in low-3% of sales; delivery and utility costs remain elevated</w:t>
            </w:r>
          </w:p>
        </w:tc>
      </w:tr>
      <w:tr>
        <w:tc>
          <w:tcPr>
            <w:tcW w:type="dxa" w:w="1728"/>
          </w:tcPr>
          <w:p>
            <w:r>
              <w:rPr>
                <w:rFonts w:ascii="Calibri" w:hAnsi="Calibri"/>
                <w:sz w:val="22"/>
              </w:rPr>
              <w:t>Q2 2026 G&amp;A (Non-GAAP)</w:t>
            </w:r>
          </w:p>
        </w:tc>
        <w:tc>
          <w:tcPr>
            <w:tcW w:type="dxa" w:w="1728"/>
          </w:tcPr>
          <w:p>
            <w:r>
              <w:rPr>
                <w:rFonts w:ascii="Calibri" w:hAnsi="Calibri"/>
                <w:sz w:val="22"/>
              </w:rPr>
              <w:t>~$181M</w:t>
            </w:r>
          </w:p>
        </w:tc>
        <w:tc>
          <w:tcPr>
            <w:tcW w:type="dxa" w:w="1728"/>
          </w:tcPr>
          <w:p>
            <w:r>
              <w:rPr>
                <w:rFonts w:ascii="Calibri" w:hAnsi="Calibri"/>
                <w:sz w:val="22"/>
              </w:rPr>
              <w:t>—</w:t>
            </w:r>
          </w:p>
        </w:tc>
        <w:tc>
          <w:tcPr>
            <w:tcW w:type="dxa" w:w="1728"/>
          </w:tcPr>
          <w:p>
            <w:r>
              <w:rPr>
                <w:rFonts w:ascii="Calibri" w:hAnsi="Calibri"/>
                <w:sz w:val="22"/>
              </w:rPr>
              <w:t>~$181M</w:t>
            </w:r>
          </w:p>
        </w:tc>
        <w:tc>
          <w:tcPr>
            <w:tcW w:type="dxa" w:w="1728"/>
          </w:tcPr>
          <w:p>
            <w:r>
              <w:rPr>
                <w:rFonts w:ascii="Calibri" w:hAnsi="Calibri"/>
                <w:sz w:val="22"/>
              </w:rPr>
              <w:t>Includes ~$151M underlying G&amp;A + ~$30M non-cash stock comp; no All Managers Conference in Q2 (was Q1)</w:t>
            </w:r>
          </w:p>
        </w:tc>
      </w:tr>
      <w:tr>
        <w:tc>
          <w:tcPr>
            <w:tcW w:type="dxa" w:w="1728"/>
          </w:tcPr>
          <w:p>
            <w:r>
              <w:rPr>
                <w:rFonts w:ascii="Calibri" w:hAnsi="Calibri"/>
                <w:sz w:val="22"/>
              </w:rPr>
              <w:t>FY 2026 New Units</w:t>
            </w:r>
          </w:p>
        </w:tc>
        <w:tc>
          <w:tcPr>
            <w:tcW w:type="dxa" w:w="1728"/>
          </w:tcPr>
          <w:p>
            <w:r>
              <w:rPr>
                <w:rFonts w:ascii="Calibri" w:hAnsi="Calibri"/>
                <w:sz w:val="22"/>
              </w:rPr>
              <w:t>~350 (80% with Chipotlane)</w:t>
            </w:r>
          </w:p>
        </w:tc>
        <w:tc>
          <w:tcPr>
            <w:tcW w:type="dxa" w:w="1728"/>
          </w:tcPr>
          <w:p>
            <w:r>
              <w:rPr>
                <w:rFonts w:ascii="Calibri" w:hAnsi="Calibri"/>
                <w:sz w:val="22"/>
              </w:rPr>
              <w:t>—</w:t>
            </w:r>
          </w:p>
        </w:tc>
        <w:tc>
          <w:tcPr>
            <w:tcW w:type="dxa" w:w="1728"/>
          </w:tcPr>
          <w:p>
            <w:r>
              <w:rPr>
                <w:rFonts w:ascii="Calibri" w:hAnsi="Calibri"/>
                <w:sz w:val="22"/>
              </w:rPr>
              <w:t>~354</w:t>
            </w:r>
          </w:p>
        </w:tc>
        <w:tc>
          <w:tcPr>
            <w:tcW w:type="dxa" w:w="1728"/>
          </w:tcPr>
          <w:p>
            <w:r>
              <w:rPr>
                <w:rFonts w:ascii="Calibri" w:hAnsi="Calibri"/>
                <w:sz w:val="22"/>
              </w:rPr>
              <w:t>On track; pipeline fully built for 2027 at same pace; Middle East delays noted but immaterial to total</w:t>
            </w:r>
          </w:p>
        </w:tc>
      </w:tr>
      <w:tr>
        <w:tc>
          <w:tcPr>
            <w:tcW w:type="dxa" w:w="1728"/>
          </w:tcPr>
          <w:p>
            <w:r>
              <w:rPr>
                <w:rFonts w:ascii="Calibri" w:hAnsi="Calibri"/>
                <w:sz w:val="22"/>
              </w:rPr>
              <w:t>FY 2026 Pricing</w:t>
            </w:r>
          </w:p>
        </w:tc>
        <w:tc>
          <w:tcPr>
            <w:tcW w:type="dxa" w:w="1728"/>
          </w:tcPr>
          <w:p>
            <w:r>
              <w:rPr>
                <w:rFonts w:ascii="Calibri" w:hAnsi="Calibri"/>
                <w:sz w:val="22"/>
              </w:rPr>
              <w:t>1%–2% range</w:t>
            </w:r>
          </w:p>
        </w:tc>
        <w:tc>
          <w:tcPr>
            <w:tcW w:type="dxa" w:w="1728"/>
          </w:tcPr>
          <w:p>
            <w:r>
              <w:rPr>
                <w:rFonts w:ascii="Calibri" w:hAnsi="Calibri"/>
                <w:sz w:val="22"/>
              </w:rPr>
              <w:t>—</w:t>
            </w:r>
          </w:p>
        </w:tc>
        <w:tc>
          <w:tcPr>
            <w:tcW w:type="dxa" w:w="1728"/>
          </w:tcPr>
          <w:p>
            <w:r>
              <w:rPr>
                <w:rFonts w:ascii="Calibri" w:hAnsi="Calibri"/>
                <w:sz w:val="22"/>
              </w:rPr>
              <w:t>~1.5% (Q2 step-up)</w:t>
            </w:r>
          </w:p>
        </w:tc>
        <w:tc>
          <w:tcPr>
            <w:tcW w:type="dxa" w:w="1728"/>
          </w:tcPr>
          <w:p>
            <w:r>
              <w:rPr>
                <w:rFonts w:ascii="Calibri" w:hAnsi="Calibri"/>
                <w:sz w:val="22"/>
              </w:rPr>
              <w:t>Deliberate below-inflation pricing strategy; 20–30% discount to fast-casual peers maintained</w:t>
            </w:r>
          </w:p>
        </w:tc>
      </w:tr>
      <w:tr>
        <w:tc>
          <w:tcPr>
            <w:tcW w:type="dxa" w:w="1728"/>
          </w:tcPr>
          <w:p>
            <w:r>
              <w:rPr>
                <w:rFonts w:ascii="Calibri" w:hAnsi="Calibri"/>
                <w:sz w:val="22"/>
              </w:rPr>
              <w:t>FY 2026 Cost of Sales Inflation</w:t>
            </w:r>
          </w:p>
        </w:tc>
        <w:tc>
          <w:tcPr>
            <w:tcW w:type="dxa" w:w="1728"/>
          </w:tcPr>
          <w:p>
            <w:r>
              <w:rPr>
                <w:rFonts w:ascii="Calibri" w:hAnsi="Calibri"/>
                <w:sz w:val="22"/>
              </w:rPr>
              <w:t>~4% full year; mid-single-digit in H1, low-to-mid in H2</w:t>
            </w:r>
          </w:p>
        </w:tc>
        <w:tc>
          <w:tcPr>
            <w:tcW w:type="dxa" w:w="1728"/>
          </w:tcPr>
          <w:p>
            <w:r>
              <w:rPr>
                <w:rFonts w:ascii="Calibri" w:hAnsi="Calibri"/>
                <w:sz w:val="22"/>
              </w:rPr>
              <w:t>—</w:t>
            </w:r>
          </w:p>
        </w:tc>
        <w:tc>
          <w:tcPr>
            <w:tcW w:type="dxa" w:w="1728"/>
          </w:tcPr>
          <w:p>
            <w:r>
              <w:rPr>
                <w:rFonts w:ascii="Calibri" w:hAnsi="Calibri"/>
                <w:sz w:val="22"/>
              </w:rPr>
              <w:t>~4% (in line)</w:t>
            </w:r>
          </w:p>
        </w:tc>
        <w:tc>
          <w:tcPr>
            <w:tcW w:type="dxa" w:w="1728"/>
          </w:tcPr>
          <w:p>
            <w:r>
              <w:rPr>
                <w:rFonts w:ascii="Calibri" w:hAnsi="Calibri"/>
                <w:sz w:val="22"/>
              </w:rPr>
              <w:t>Beef and avocado remain primary headwinds; H2 expected to ease as elevated beef costs are lapped</w:t>
            </w:r>
          </w:p>
        </w:tc>
      </w:tr>
    </w:tbl>
    <w:p>
      <w:r>
        <w:rPr>
          <w:rFonts w:ascii="Calibri" w:hAnsi="Calibri"/>
          <w:i/>
          <w:color w:val="525866"/>
          <w:sz w:val="22"/>
        </w:rPr>
        <w:t>Source: CMG Q1 2026 Earnings Call (April 29, 2026); Bernstein 42nd Annual Strategic Decisions Conference (May 28, 2026); Visible Alpha Consensus.</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the Street aligned to management's guidance rather than pricing in upside — which means the revision bar is low and any positive comp or traffic surprise could trigger upward revisions; the </w:t>
      </w:r>
      <w:r>
        <w:rPr>
          <w:rFonts w:ascii="Calibri" w:hAnsi="Calibri"/>
          <w:b/>
          <w:color w:val="525866"/>
          <w:sz w:val="22"/>
        </w:rPr>
        <w:t>FY 2026 consensus sits ~$0.006 above the post-Q1 baseline</w:t>
      </w:r>
      <w:r>
        <w:rPr>
          <w:rFonts w:ascii="Calibri" w:hAnsi="Calibri"/>
          <w:color w:val="525866"/>
          <w:sz w:val="22"/>
        </w:rPr>
        <w:t>, suggesting minimal incremental optimism has been priced 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$3.329B</w:t>
            </w:r>
          </w:p>
        </w:tc>
        <w:tc>
          <w:tcPr>
            <w:tcW w:type="dxa" w:w="1080"/>
          </w:tcPr>
          <w:p>
            <w:r>
              <w:rPr>
                <w:rFonts w:ascii="Calibri" w:hAnsi="Calibri"/>
                <w:sz w:val="22"/>
              </w:rPr>
              <w:t>$3.333B</w:t>
            </w:r>
          </w:p>
        </w:tc>
        <w:tc>
          <w:tcPr>
            <w:tcW w:type="dxa" w:w="1080"/>
          </w:tcPr>
          <w:p>
            <w:r>
              <w:rPr>
                <w:rFonts w:ascii="Calibri" w:hAnsi="Calibri"/>
                <w:sz w:val="22"/>
              </w:rPr>
              <w:t>+0.1%</w:t>
            </w:r>
          </w:p>
        </w:tc>
        <w:tc>
          <w:tcPr>
            <w:tcW w:type="dxa" w:w="1080"/>
          </w:tcPr>
          <w:p>
            <w:r>
              <w:rPr>
                <w:rFonts w:ascii="Calibri" w:hAnsi="Calibri"/>
                <w:sz w:val="22"/>
              </w:rPr>
              <w:t>Implied ~+1% comp + ~350 units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Comp SSS — Q2 2026</w:t>
            </w:r>
          </w:p>
        </w:tc>
        <w:tc>
          <w:tcPr>
            <w:tcW w:type="dxa" w:w="1080"/>
          </w:tcPr>
          <w:p>
            <w:r>
              <w:rPr>
                <w:rFonts w:ascii="Calibri" w:hAnsi="Calibri"/>
                <w:sz w:val="22"/>
              </w:rPr>
              <w:t>+1.32%</w:t>
            </w:r>
          </w:p>
        </w:tc>
        <w:tc>
          <w:tcPr>
            <w:tcW w:type="dxa" w:w="1080"/>
          </w:tcPr>
          <w:p>
            <w:r>
              <w:rPr>
                <w:rFonts w:ascii="Calibri" w:hAnsi="Calibri"/>
                <w:sz w:val="22"/>
              </w:rPr>
              <w:t>+1.37%</w:t>
            </w:r>
          </w:p>
        </w:tc>
        <w:tc>
          <w:tcPr>
            <w:tcW w:type="dxa" w:w="1080"/>
          </w:tcPr>
          <w:p>
            <w:r>
              <w:rPr>
                <w:rFonts w:ascii="Calibri" w:hAnsi="Calibri"/>
                <w:sz w:val="22"/>
              </w:rPr>
              <w:t>+4 bps</w:t>
            </w:r>
          </w:p>
        </w:tc>
        <w:tc>
          <w:tcPr>
            <w:tcW w:type="dxa" w:w="1080"/>
          </w:tcPr>
          <w:p>
            <w:r>
              <w:rPr>
                <w:rFonts w:ascii="Calibri" w:hAnsi="Calibri"/>
                <w:sz w:val="22"/>
              </w:rPr>
              <w:t>~+1%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+~37 bps above guide</w:t>
            </w:r>
          </w:p>
        </w:tc>
      </w:tr>
      <w:tr>
        <w:tc>
          <w:tcPr>
            <w:tcW w:type="dxa" w:w="1080"/>
          </w:tcPr>
          <w:p>
            <w:r>
              <w:rPr>
                <w:rFonts w:ascii="Calibri" w:hAnsi="Calibri"/>
                <w:sz w:val="22"/>
              </w:rPr>
              <w:t>Adj. EPS — Q2 2026</w:t>
            </w:r>
          </w:p>
        </w:tc>
        <w:tc>
          <w:tcPr>
            <w:tcW w:type="dxa" w:w="1080"/>
          </w:tcPr>
          <w:p>
            <w:r>
              <w:rPr>
                <w:rFonts w:ascii="Calibri" w:hAnsi="Calibri"/>
                <w:sz w:val="22"/>
              </w:rPr>
              <w:t>$0.319</w:t>
            </w:r>
          </w:p>
        </w:tc>
        <w:tc>
          <w:tcPr>
            <w:tcW w:type="dxa" w:w="1080"/>
          </w:tcPr>
          <w:p>
            <w:r>
              <w:rPr>
                <w:rFonts w:ascii="Calibri" w:hAnsi="Calibri"/>
                <w:sz w:val="22"/>
              </w:rPr>
              <w:t>$0.320</w:t>
            </w:r>
          </w:p>
        </w:tc>
        <w:tc>
          <w:tcPr>
            <w:tcW w:type="dxa" w:w="1080"/>
          </w:tcPr>
          <w:p>
            <w:r>
              <w:rPr>
                <w:rFonts w:ascii="Calibri" w:hAnsi="Calibri"/>
                <w:sz w:val="22"/>
              </w:rPr>
              <w:t>+0.3%</w:t>
            </w:r>
          </w:p>
        </w:tc>
        <w:tc>
          <w:tcPr>
            <w:tcW w:type="dxa" w:w="1080"/>
          </w:tcPr>
          <w:p>
            <w:r>
              <w:rPr>
                <w:rFonts w:ascii="Calibri" w:hAnsi="Calibri"/>
                <w:sz w:val="22"/>
              </w:rPr>
              <w:t>No explicit guide</w:t>
            </w:r>
          </w:p>
        </w:tc>
        <w:tc>
          <w:tcPr>
            <w:tcW w:type="dxa" w:w="1080"/>
          </w:tcPr>
          <w:p>
            <w:r>
              <w:rPr>
                <w:rFonts w:ascii="Calibri" w:hAnsi="Calibri"/>
                <w:sz w:val="22"/>
              </w:rPr>
              <w:t>No explicit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Restaurant-Level Margin — Q2 2026</w:t>
            </w:r>
          </w:p>
        </w:tc>
        <w:tc>
          <w:tcPr>
            <w:tcW w:type="dxa" w:w="1080"/>
          </w:tcPr>
          <w:p>
            <w:r>
              <w:rPr>
                <w:rFonts w:ascii="Calibri" w:hAnsi="Calibri"/>
                <w:sz w:val="22"/>
              </w:rPr>
              <w:t>24.99%</w:t>
            </w:r>
          </w:p>
        </w:tc>
        <w:tc>
          <w:tcPr>
            <w:tcW w:type="dxa" w:w="1080"/>
          </w:tcPr>
          <w:p>
            <w:r>
              <w:rPr>
                <w:rFonts w:ascii="Calibri" w:hAnsi="Calibri"/>
                <w:sz w:val="22"/>
              </w:rPr>
              <w:t>24.99%</w:t>
            </w:r>
          </w:p>
        </w:tc>
        <w:tc>
          <w:tcPr>
            <w:tcW w:type="dxa" w:w="1080"/>
          </w:tcPr>
          <w:p>
            <w:r>
              <w:rPr>
                <w:rFonts w:ascii="Calibri" w:hAnsi="Calibri"/>
                <w:sz w:val="22"/>
              </w:rPr>
              <w:t>Flat</w:t>
            </w:r>
          </w:p>
        </w:tc>
        <w:tc>
          <w:tcPr>
            <w:tcW w:type="dxa" w:w="1080"/>
          </w:tcPr>
          <w:p>
            <w:r>
              <w:rPr>
                <w:rFonts w:ascii="Calibri" w:hAnsi="Calibri"/>
                <w:sz w:val="22"/>
              </w:rPr>
              <w:t>Cost of sales ~30%; labor low-25%; other opex high-14%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$12.969B</w:t>
            </w:r>
          </w:p>
        </w:tc>
        <w:tc>
          <w:tcPr>
            <w:tcW w:type="dxa" w:w="1080"/>
          </w:tcPr>
          <w:p>
            <w:r>
              <w:rPr>
                <w:rFonts w:ascii="Calibri" w:hAnsi="Calibri"/>
                <w:sz w:val="22"/>
              </w:rPr>
              <w:t>$12.986B</w:t>
            </w:r>
          </w:p>
        </w:tc>
        <w:tc>
          <w:tcPr>
            <w:tcW w:type="dxa" w:w="1080"/>
          </w:tcPr>
          <w:p>
            <w:r>
              <w:rPr>
                <w:rFonts w:ascii="Calibri" w:hAnsi="Calibri"/>
                <w:sz w:val="22"/>
              </w:rPr>
              <w:t>+0.1%</w:t>
            </w:r>
          </w:p>
        </w:tc>
        <w:tc>
          <w:tcPr>
            <w:tcW w:type="dxa" w:w="1080"/>
          </w:tcPr>
          <w:p>
            <w:r>
              <w:rPr>
                <w:rFonts w:ascii="Calibri" w:hAnsi="Calibri"/>
                <w:sz w:val="22"/>
              </w:rPr>
              <w:t>~350 new units + flat comp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~+1.5% comp vs. flat guide</w:t>
            </w:r>
          </w:p>
        </w:tc>
      </w:tr>
      <w:tr>
        <w:tc>
          <w:tcPr>
            <w:tcW w:type="dxa" w:w="1080"/>
          </w:tcPr>
          <w:p>
            <w:r>
              <w:rPr>
                <w:rFonts w:ascii="Calibri" w:hAnsi="Calibri"/>
                <w:sz w:val="22"/>
              </w:rPr>
              <w:t>Comp SSS — FY 2026</w:t>
            </w:r>
          </w:p>
        </w:tc>
        <w:tc>
          <w:tcPr>
            <w:tcW w:type="dxa" w:w="1080"/>
          </w:tcPr>
          <w:p>
            <w:r>
              <w:rPr>
                <w:rFonts w:ascii="Calibri" w:hAnsi="Calibri"/>
                <w:sz w:val="22"/>
              </w:rPr>
              <w:t>+1.39%</w:t>
            </w:r>
          </w:p>
        </w:tc>
        <w:tc>
          <w:tcPr>
            <w:tcW w:type="dxa" w:w="1080"/>
          </w:tcPr>
          <w:p>
            <w:r>
              <w:rPr>
                <w:rFonts w:ascii="Calibri" w:hAnsi="Calibri"/>
                <w:sz w:val="22"/>
              </w:rPr>
              <w:t>+1.46%</w:t>
            </w:r>
          </w:p>
        </w:tc>
        <w:tc>
          <w:tcPr>
            <w:tcW w:type="dxa" w:w="1080"/>
          </w:tcPr>
          <w:p>
            <w:r>
              <w:rPr>
                <w:rFonts w:ascii="Calibri" w:hAnsi="Calibri"/>
                <w:sz w:val="22"/>
              </w:rPr>
              <w:t>+7 bps</w:t>
            </w:r>
          </w:p>
        </w:tc>
        <w:tc>
          <w:tcPr>
            <w:tcW w:type="dxa" w:w="1080"/>
          </w:tcPr>
          <w:p>
            <w:r>
              <w:rPr>
                <w:rFonts w:ascii="Calibri" w:hAnsi="Calibri"/>
                <w:sz w:val="22"/>
              </w:rPr>
              <w:t>~Flat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+~146 bps above guide</w:t>
            </w:r>
          </w:p>
        </w:tc>
      </w:tr>
      <w:tr>
        <w:tc>
          <w:tcPr>
            <w:tcW w:type="dxa" w:w="1080"/>
          </w:tcPr>
          <w:p>
            <w:r>
              <w:rPr>
                <w:rFonts w:ascii="Calibri" w:hAnsi="Calibri"/>
                <w:sz w:val="22"/>
              </w:rPr>
              <w:t>Adj. EPS — FY 2026</w:t>
            </w:r>
          </w:p>
        </w:tc>
        <w:tc>
          <w:tcPr>
            <w:tcW w:type="dxa" w:w="1080"/>
          </w:tcPr>
          <w:p>
            <w:r>
              <w:rPr>
                <w:rFonts w:ascii="Calibri" w:hAnsi="Calibri"/>
                <w:sz w:val="22"/>
              </w:rPr>
              <w:t>$1.133</w:t>
            </w:r>
          </w:p>
        </w:tc>
        <w:tc>
          <w:tcPr>
            <w:tcW w:type="dxa" w:w="1080"/>
          </w:tcPr>
          <w:p>
            <w:r>
              <w:rPr>
                <w:rFonts w:ascii="Calibri" w:hAnsi="Calibri"/>
                <w:sz w:val="22"/>
              </w:rPr>
              <w:t>$1.133</w:t>
            </w:r>
          </w:p>
        </w:tc>
        <w:tc>
          <w:tcPr>
            <w:tcW w:type="dxa" w:w="1080"/>
          </w:tcPr>
          <w:p>
            <w:r>
              <w:rPr>
                <w:rFonts w:ascii="Calibri" w:hAnsi="Calibri"/>
                <w:sz w:val="22"/>
              </w:rPr>
              <w:t>Flat</w:t>
            </w:r>
          </w:p>
        </w:tc>
        <w:tc>
          <w:tcPr>
            <w:tcW w:type="dxa" w:w="1080"/>
          </w:tcPr>
          <w:p>
            <w:r>
              <w:rPr>
                <w:rFonts w:ascii="Calibri" w:hAnsi="Calibri"/>
                <w:sz w:val="22"/>
              </w:rPr>
              <w:t>No explicit guide</w:t>
            </w:r>
          </w:p>
        </w:tc>
        <w:tc>
          <w:tcPr>
            <w:tcW w:type="dxa" w:w="1080"/>
          </w:tcPr>
          <w:p>
            <w:r>
              <w:rPr>
                <w:rFonts w:ascii="Calibri" w:hAnsi="Calibri"/>
                <w:sz w:val="22"/>
              </w:rPr>
              <w:t>No explicit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Restaurant-Level Margin — FY 2026</w:t>
            </w:r>
          </w:p>
        </w:tc>
        <w:tc>
          <w:tcPr>
            <w:tcW w:type="dxa" w:w="1080"/>
          </w:tcPr>
          <w:p>
            <w:r>
              <w:rPr>
                <w:rFonts w:ascii="Calibri" w:hAnsi="Calibri"/>
                <w:sz w:val="22"/>
              </w:rPr>
              <w:t>23.96%</w:t>
            </w:r>
          </w:p>
        </w:tc>
        <w:tc>
          <w:tcPr>
            <w:tcW w:type="dxa" w:w="1080"/>
          </w:tcPr>
          <w:p>
            <w:r>
              <w:rPr>
                <w:rFonts w:ascii="Calibri" w:hAnsi="Calibri"/>
                <w:sz w:val="22"/>
              </w:rPr>
              <w:t>23.96%</w:t>
            </w:r>
          </w:p>
        </w:tc>
        <w:tc>
          <w:tcPr>
            <w:tcW w:type="dxa" w:w="1080"/>
          </w:tcPr>
          <w:p>
            <w:r>
              <w:rPr>
                <w:rFonts w:ascii="Calibri" w:hAnsi="Calibri"/>
                <w:sz w:val="22"/>
              </w:rPr>
              <w:t>Flat</w:t>
            </w:r>
          </w:p>
        </w:tc>
        <w:tc>
          <w:tcPr>
            <w:tcW w:type="dxa" w:w="1080"/>
          </w:tcPr>
          <w:p>
            <w:r>
              <w:rPr>
                <w:rFonts w:ascii="Calibri" w:hAnsi="Calibri"/>
                <w:sz w:val="22"/>
              </w:rPr>
              <w:t>~24% implied by cost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The revision picture is remarkably stable: virtually no estimate movement since the Q1 print, with the Street anchored to management's guidance. The FY 2026 comp consensus of ~+1.5% sits ~150 bps above the flat guide, reflecting the Street's view that management is being deliberately conservative. This creates a setup where a Q2 comp beat could catalyze upward FY revisions, while a miss would validate the cautious guide and likely pressure the stock.</w:t>
      </w:r>
    </w:p>
    <w:p>
      <w:r>
        <w:rPr>
          <w:rFonts w:ascii="Calibri" w:hAnsi="Calibri"/>
          <w:i/>
          <w:color w:val="525866"/>
          <w:sz w:val="22"/>
        </w:rPr>
        <w:t>Source: Visible Alpha Consensus and Actuals Data (as-of date May 6, 2026 and July 28,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The stock's ~28% decline over the past 12 months has been driven almost entirely by </w:t>
      </w:r>
      <w:r>
        <w:rPr>
          <w:rFonts w:ascii="Calibri" w:hAnsi="Calibri"/>
          <w:b/>
          <w:color w:val="525866"/>
          <w:sz w:val="22"/>
        </w:rPr>
        <w:t>multiple compression</w:t>
      </w:r>
      <w:r>
        <w:rPr>
          <w:rFonts w:ascii="Calibri" w:hAnsi="Calibri"/>
          <w:color w:val="525866"/>
          <w:sz w:val="22"/>
        </w:rPr>
        <w:t xml:space="preserve"> (NTM P/E from ~34.5x to ~26.3x, a ~24% contraction), not earnings deterioration — the market has de-rated CMG from a premium growth story to a "show-me" story, and a sustained return to positive transaction growth is the prerequisite for re-rating.</w:t>
      </w:r>
    </w:p>
    <w:p>
      <w:r>
        <w:rPr>
          <w:rFonts w:ascii="Calibri" w:hAnsi="Calibri"/>
          <w:color w:val="525866"/>
          <w:sz w:val="22"/>
        </w:rPr>
        <w:t xml:space="preserve">Since the Q1 2026 earnings print on April 29, 2026, CMG has traded roughly flat to slightly down (~-0.4% over 3 months), underperforming the S&amp;P 500 modestly. The 6-month picture is more telling: the stock is down ~16%, with NTM EV/EBITDA compressing from ~23x to ~19x (-19%), while the 12-month decline of ~28% reflects a ~23% multiple contraction on top of modest earnings estimate cuts. The stock briefly rallied ~5-6% after the Q1 beat (transactions turning positive), but gave back gains as the market awaited confirmation that the traffic inflection was durable. A notable intra-period event was the July 22 cyclospora/Taco Bell news, which dragged CMG ~3.4% lower on sympathy selling despite no direct link to Chipotle's supply chain. The relevant sector ETF for CMG is </w:t>
      </w:r>
      <w:r>
        <w:rPr>
          <w:rFonts w:ascii="Calibri" w:hAnsi="Calibri"/>
          <w:b/>
          <w:color w:val="525866"/>
          <w:sz w:val="22"/>
        </w:rPr>
        <w:t>EATZ (AdvisorShares Restaurant ETF)</w:t>
      </w:r>
      <w:r>
        <w:rPr>
          <w:rFonts w:ascii="Calibri" w:hAnsi="Calibri"/>
          <w:color w:val="525866"/>
          <w:sz w:val="22"/>
        </w:rPr>
        <w:t>, which captures the fast-casual and restaurant sub-sector.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CMG Price Return</w:t>
            </w:r>
          </w:p>
        </w:tc>
        <w:tc>
          <w:tcPr>
            <w:tcW w:type="dxa" w:w="1440"/>
            <w:shd w:val="clear" w:color="auto" w:fill="3B4259"/>
          </w:tcPr>
          <w:p>
            <w:r>
              <w:rPr>
                <w:rFonts w:ascii="Calibri" w:hAnsi="Calibri"/>
                <w:b/>
                <w:color w:val="FFFFFF"/>
                <w:sz w:val="22"/>
              </w:rPr>
              <w:t>NTM P/E at Start</w:t>
            </w:r>
          </w:p>
        </w:tc>
        <w:tc>
          <w:tcPr>
            <w:tcW w:type="dxa" w:w="1440"/>
            <w:shd w:val="clear" w:color="auto" w:fill="3B4259"/>
          </w:tcPr>
          <w:p>
            <w:r>
              <w:rPr>
                <w:rFonts w:ascii="Calibri" w:hAnsi="Calibri"/>
                <w:b/>
                <w:color w:val="FFFFFF"/>
                <w:sz w:val="22"/>
              </w:rPr>
              <w:t>NTM P/E Now</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+0.5%</w:t>
            </w:r>
          </w:p>
        </w:tc>
        <w:tc>
          <w:tcPr>
            <w:tcW w:type="dxa" w:w="1440"/>
          </w:tcPr>
          <w:p>
            <w:r>
              <w:rPr>
                <w:rFonts w:ascii="Calibri" w:hAnsi="Calibri"/>
                <w:sz w:val="22"/>
              </w:rPr>
              <w:t>~25.9x</w:t>
            </w:r>
          </w:p>
        </w:tc>
        <w:tc>
          <w:tcPr>
            <w:tcW w:type="dxa" w:w="1440"/>
          </w:tcPr>
          <w:p>
            <w:r>
              <w:rPr>
                <w:rFonts w:ascii="Calibri" w:hAnsi="Calibri"/>
                <w:sz w:val="22"/>
              </w:rPr>
              <w:t>~26.3x</w:t>
            </w:r>
          </w:p>
        </w:tc>
        <w:tc>
          <w:tcPr>
            <w:tcW w:type="dxa" w:w="1440"/>
          </w:tcPr>
          <w:p>
            <w:r>
              <w:rPr>
                <w:rFonts w:ascii="Calibri" w:hAnsi="Calibri"/>
                <w:sz w:val="22"/>
              </w:rPr>
              <w:t>+1.4%</w:t>
            </w:r>
          </w:p>
        </w:tc>
        <w:tc>
          <w:tcPr>
            <w:tcW w:type="dxa" w:w="1440"/>
          </w:tcPr>
          <w:p>
            <w:r>
              <w:rPr>
                <w:rFonts w:ascii="Calibri" w:hAnsi="Calibri"/>
                <w:sz w:val="22"/>
              </w:rPr>
              <w:t>Slight multiple expansion; earnings flat</w:t>
            </w:r>
          </w:p>
        </w:tc>
      </w:tr>
      <w:tr>
        <w:tc>
          <w:tcPr>
            <w:tcW w:type="dxa" w:w="1440"/>
          </w:tcPr>
          <w:p>
            <w:r>
              <w:rPr>
                <w:rFonts w:ascii="Calibri" w:hAnsi="Calibri"/>
                <w:sz w:val="22"/>
              </w:rPr>
              <w:t>3 Months</w:t>
            </w:r>
          </w:p>
        </w:tc>
        <w:tc>
          <w:tcPr>
            <w:tcW w:type="dxa" w:w="1440"/>
          </w:tcPr>
          <w:p>
            <w:r>
              <w:rPr>
                <w:rFonts w:ascii="Calibri" w:hAnsi="Calibri"/>
                <w:sz w:val="22"/>
              </w:rPr>
              <w:t>-0.4%</w:t>
            </w:r>
          </w:p>
        </w:tc>
        <w:tc>
          <w:tcPr>
            <w:tcW w:type="dxa" w:w="1440"/>
          </w:tcPr>
          <w:p>
            <w:r>
              <w:rPr>
                <w:rFonts w:ascii="Calibri" w:hAnsi="Calibri"/>
                <w:sz w:val="22"/>
              </w:rPr>
              <w:t>~28.2x</w:t>
            </w:r>
          </w:p>
        </w:tc>
        <w:tc>
          <w:tcPr>
            <w:tcW w:type="dxa" w:w="1440"/>
          </w:tcPr>
          <w:p>
            <w:r>
              <w:rPr>
                <w:rFonts w:ascii="Calibri" w:hAnsi="Calibri"/>
                <w:sz w:val="22"/>
              </w:rPr>
              <w:t>~26.3x</w:t>
            </w:r>
          </w:p>
        </w:tc>
        <w:tc>
          <w:tcPr>
            <w:tcW w:type="dxa" w:w="1440"/>
          </w:tcPr>
          <w:p>
            <w:r>
              <w:rPr>
                <w:rFonts w:ascii="Calibri" w:hAnsi="Calibri"/>
                <w:sz w:val="22"/>
              </w:rPr>
              <w:t>-6.8%</w:t>
            </w:r>
          </w:p>
        </w:tc>
        <w:tc>
          <w:tcPr>
            <w:tcW w:type="dxa" w:w="1440"/>
          </w:tcPr>
          <w:p>
            <w:r>
              <w:rPr>
                <w:rFonts w:ascii="Calibri" w:hAnsi="Calibri"/>
                <w:sz w:val="22"/>
              </w:rPr>
              <w:t>Multiple compression dominant; estimates stable</w:t>
            </w:r>
          </w:p>
        </w:tc>
      </w:tr>
      <w:tr>
        <w:tc>
          <w:tcPr>
            <w:tcW w:type="dxa" w:w="1440"/>
          </w:tcPr>
          <w:p>
            <w:r>
              <w:rPr>
                <w:rFonts w:ascii="Calibri" w:hAnsi="Calibri"/>
                <w:sz w:val="22"/>
              </w:rPr>
              <w:t>6 Months</w:t>
            </w:r>
          </w:p>
        </w:tc>
        <w:tc>
          <w:tcPr>
            <w:tcW w:type="dxa" w:w="1440"/>
          </w:tcPr>
          <w:p>
            <w:r>
              <w:rPr>
                <w:rFonts w:ascii="Calibri" w:hAnsi="Calibri"/>
                <w:sz w:val="22"/>
              </w:rPr>
              <w:t>-15.6%</w:t>
            </w:r>
          </w:p>
        </w:tc>
        <w:tc>
          <w:tcPr>
            <w:tcW w:type="dxa" w:w="1440"/>
          </w:tcPr>
          <w:p>
            <w:r>
              <w:rPr>
                <w:rFonts w:ascii="Calibri" w:hAnsi="Calibri"/>
                <w:sz w:val="22"/>
              </w:rPr>
              <w:t>~33.2x</w:t>
            </w:r>
          </w:p>
        </w:tc>
        <w:tc>
          <w:tcPr>
            <w:tcW w:type="dxa" w:w="1440"/>
          </w:tcPr>
          <w:p>
            <w:r>
              <w:rPr>
                <w:rFonts w:ascii="Calibri" w:hAnsi="Calibri"/>
                <w:sz w:val="22"/>
              </w:rPr>
              <w:t>~26.3x</w:t>
            </w:r>
          </w:p>
        </w:tc>
        <w:tc>
          <w:tcPr>
            <w:tcW w:type="dxa" w:w="1440"/>
          </w:tcPr>
          <w:p>
            <w:r>
              <w:rPr>
                <w:rFonts w:ascii="Calibri" w:hAnsi="Calibri"/>
                <w:sz w:val="22"/>
              </w:rPr>
              <w:t>-20.9%</w:t>
            </w:r>
          </w:p>
        </w:tc>
        <w:tc>
          <w:tcPr>
            <w:tcW w:type="dxa" w:w="1440"/>
          </w:tcPr>
          <w:p>
            <w:r>
              <w:rPr>
                <w:rFonts w:ascii="Calibri" w:hAnsi="Calibri"/>
                <w:sz w:val="22"/>
              </w:rPr>
              <w:t>Multiple compression; modest estimate cuts</w:t>
            </w:r>
          </w:p>
        </w:tc>
      </w:tr>
      <w:tr>
        <w:tc>
          <w:tcPr>
            <w:tcW w:type="dxa" w:w="1440"/>
          </w:tcPr>
          <w:p>
            <w:r>
              <w:rPr>
                <w:rFonts w:ascii="Calibri" w:hAnsi="Calibri"/>
                <w:sz w:val="22"/>
              </w:rPr>
              <w:t>12 Months</w:t>
            </w:r>
          </w:p>
        </w:tc>
        <w:tc>
          <w:tcPr>
            <w:tcW w:type="dxa" w:w="1440"/>
          </w:tcPr>
          <w:p>
            <w:r>
              <w:rPr>
                <w:rFonts w:ascii="Calibri" w:hAnsi="Calibri"/>
                <w:sz w:val="22"/>
              </w:rPr>
              <w:t>-28.3%</w:t>
            </w:r>
          </w:p>
        </w:tc>
        <w:tc>
          <w:tcPr>
            <w:tcW w:type="dxa" w:w="1440"/>
          </w:tcPr>
          <w:p>
            <w:r>
              <w:rPr>
                <w:rFonts w:ascii="Calibri" w:hAnsi="Calibri"/>
                <w:sz w:val="22"/>
              </w:rPr>
              <w:t>~34.5x</w:t>
            </w:r>
          </w:p>
        </w:tc>
        <w:tc>
          <w:tcPr>
            <w:tcW w:type="dxa" w:w="1440"/>
          </w:tcPr>
          <w:p>
            <w:r>
              <w:rPr>
                <w:rFonts w:ascii="Calibri" w:hAnsi="Calibri"/>
                <w:sz w:val="22"/>
              </w:rPr>
              <w:t>~26.3x</w:t>
            </w:r>
          </w:p>
        </w:tc>
        <w:tc>
          <w:tcPr>
            <w:tcW w:type="dxa" w:w="1440"/>
          </w:tcPr>
          <w:p>
            <w:r>
              <w:rPr>
                <w:rFonts w:ascii="Calibri" w:hAnsi="Calibri"/>
                <w:sz w:val="22"/>
              </w:rPr>
              <w:t>-23.8%</w:t>
            </w:r>
          </w:p>
        </w:tc>
        <w:tc>
          <w:tcPr>
            <w:tcW w:type="dxa" w:w="1440"/>
          </w:tcPr>
          <w:p>
            <w:r>
              <w:rPr>
                <w:rFonts w:ascii="Calibri" w:hAnsi="Calibri"/>
                <w:sz w:val="22"/>
              </w:rPr>
              <w:t>Primarily multiple compression; sentiment de-rating</w:t>
            </w:r>
          </w:p>
        </w:tc>
      </w:tr>
    </w:tbl>
    <w:p>
      <w:r>
        <w:rPr>
          <w:rFonts w:ascii="Calibri" w:hAnsi="Calibri"/>
          <w:i/>
          <w:color w:val="525866"/>
          <w:sz w:val="22"/>
        </w:rPr>
        <w:t>Source: Stock Performance Decomposition data as of July 28, 2026. NTM P/E used as primary valuation metric for CMG.</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Taco Bell cyclospora outbreak (July 14–22)</w:t>
      </w:r>
      <w:r>
        <w:rPr>
          <w:rFonts w:ascii="Calibri" w:hAnsi="Calibri"/>
          <w:color w:val="525866"/>
          <w:sz w:val="22"/>
        </w:rPr>
        <w:t xml:space="preserve"> — while CMG has no direct exposure, the fresh-produce contagion fear briefly weighed on the stock and raises the question of whether any consumer avoidance of fresh-ingredient fast-casual created a headwind or, conversely, whether Chipotle's differentiated sourcing narrative attracted trade-in traffic.</w:t>
      </w:r>
    </w:p>
    <w:p>
      <w:pPr>
        <w:pStyle w:val="ListBullet"/>
        <w:ind w:left="360" w:hanging="360"/>
      </w:pPr>
      <w:r>
        <w:rPr>
          <w:rFonts w:ascii="Calibri" w:hAnsi="Calibri"/>
          <w:b/>
          <w:color w:val="525866"/>
          <w:sz w:val="22"/>
        </w:rPr>
        <w:t>July 16, 2026 — Chipotle opens first Mexico location (Monterrey, with partner Alsea).</w:t>
      </w:r>
      <w:r>
        <w:rPr>
          <w:rFonts w:ascii="Calibri" w:hAnsi="Calibri"/>
          <w:color w:val="525866"/>
          <w:sz w:val="22"/>
        </w:rPr>
        <w:t xml:space="preserve"> Milestone in international expansion strategy; CEO cited "deep respect for Mexico's culinary heritage." Implication: validates partner-operated model and accelerates international unit count narrative heading into 2027.</w:t>
      </w:r>
    </w:p>
    <w:p>
      <w:pPr>
        <w:pStyle w:val="ListBullet"/>
        <w:ind w:left="360" w:hanging="360"/>
      </w:pPr>
      <w:r>
        <w:rPr>
          <w:rFonts w:ascii="Calibri" w:hAnsi="Calibri"/>
          <w:b/>
          <w:color w:val="525866"/>
          <w:sz w:val="22"/>
        </w:rPr>
        <w:t>July 22, 2026 — FDA cyclospora outbreak investigation names Taco Bell; CMG shares fall ~3.4%.</w:t>
      </w:r>
      <w:r>
        <w:rPr>
          <w:rFonts w:ascii="Calibri" w:hAnsi="Calibri"/>
          <w:color w:val="525866"/>
          <w:sz w:val="22"/>
        </w:rPr>
        <w:t xml:space="preserve"> A separate FDA investigation into a broader cyclospora cluster (72 illnesses) also emerged the same day, causing sympathy selling across fresh-ingredient restaurant stocks (Sweetgreen -7.2%, CAVA -2.1%). Implication: No direct CMG exposure identified; management may address on the call. If the outbreak drove any consumer shift away from Taco Bell toward Chipotle, it could be a modest traffic tailwind in late Q2/early Q3.</w:t>
      </w:r>
    </w:p>
    <w:p>
      <w:pPr>
        <w:pStyle w:val="ListBullet"/>
        <w:ind w:left="360" w:hanging="360"/>
      </w:pPr>
      <w:r>
        <w:rPr>
          <w:rFonts w:ascii="Calibri" w:hAnsi="Calibri"/>
          <w:b/>
          <w:color w:val="525866"/>
          <w:sz w:val="22"/>
        </w:rPr>
        <w:t>July 20, 2026 — CMG announces Q1 2027 earnings date (press release).</w:t>
      </w:r>
      <w:r>
        <w:rPr>
          <w:rFonts w:ascii="Calibri" w:hAnsi="Calibri"/>
          <w:color w:val="525866"/>
          <w:sz w:val="22"/>
        </w:rPr>
        <w:t xml:space="preserve"> Routine scheduling announcement; confirms reporting cadence.</w:t>
      </w:r>
    </w:p>
    <w:p>
      <w:pPr>
        <w:pStyle w:val="ListBullet"/>
        <w:ind w:left="360" w:hanging="360"/>
      </w:pPr>
      <w:r>
        <w:rPr>
          <w:rFonts w:ascii="Calibri" w:hAnsi="Calibri"/>
          <w:b/>
          <w:color w:val="525866"/>
          <w:sz w:val="22"/>
        </w:rPr>
        <w:t>July 8, 2026 — Chipotle appoints independent director to Audit and Risk Committee (8-K).</w:t>
      </w:r>
      <w:r>
        <w:rPr>
          <w:rFonts w:ascii="Calibri" w:hAnsi="Calibri"/>
          <w:color w:val="525866"/>
          <w:sz w:val="22"/>
        </w:rPr>
        <w:t xml:space="preserve"> Routine governance action; no strategic implication.</w:t>
      </w:r>
    </w:p>
    <w:p>
      <w:pPr>
        <w:pStyle w:val="ListBullet"/>
        <w:ind w:left="360" w:hanging="360"/>
      </w:pPr>
      <w:r>
        <w:rPr>
          <w:rFonts w:ascii="Calibri" w:hAnsi="Calibri"/>
          <w:b/>
          <w:color w:val="525866"/>
          <w:sz w:val="22"/>
        </w:rPr>
        <w:t>June 16, 2026 — Annual Meeting: shareholders affirm board, executive pay, and auditor.</w:t>
      </w:r>
      <w:r>
        <w:rPr>
          <w:rFonts w:ascii="Calibri" w:hAnsi="Calibri"/>
          <w:color w:val="525866"/>
          <w:sz w:val="22"/>
        </w:rPr>
        <w:t xml:space="preserve"> No contested votes; no governance overhang.</w:t>
      </w:r>
    </w:p>
    <w:p>
      <w:pPr>
        <w:pStyle w:val="ListBullet"/>
        <w:ind w:left="360" w:hanging="360"/>
      </w:pPr>
      <w:r>
        <w:rPr>
          <w:rFonts w:ascii="Calibri" w:hAnsi="Calibri"/>
          <w:b/>
          <w:color w:val="525866"/>
          <w:sz w:val="22"/>
        </w:rPr>
        <w:t>May 28, 2026 — Bernstein Strategic Decisions Conference: CFO Adam Rymer and CEO Scott Boatwright.</w:t>
      </w:r>
      <w:r>
        <w:rPr>
          <w:rFonts w:ascii="Calibri" w:hAnsi="Calibri"/>
          <w:color w:val="525866"/>
          <w:sz w:val="22"/>
        </w:rPr>
        <w:t xml:space="preserve"> Key incremental disclosures: (1) catering expanding to Phoenix in June; (2) "happier hour" taco test ($2.50 tacos, 2–5pm) underway in Florida; (3) remodel test of 20 restaurants across 3 DMAs this summer at $200K–$600K investment tiers; (4) management targets "mid-single-digit comp over the next several quarters into 2027"; (5) HEAT equipment on track for ~2,000 restaurants by year-end. Implication: Incremental positive — multiple new traffic and occasion drivers being tested simultaneously.</w:t>
      </w:r>
    </w:p>
    <w:p>
      <w:pPr>
        <w:pStyle w:val="ListBullet"/>
        <w:ind w:left="360" w:hanging="360"/>
      </w:pPr>
      <w:r>
        <w:rPr>
          <w:rFonts w:ascii="Calibri" w:hAnsi="Calibri"/>
          <w:b/>
          <w:color w:val="525866"/>
          <w:sz w:val="22"/>
        </w:rPr>
        <w:t>July 14–17, 2026 — Taco Bell cyclospora investigation begins (YUM shares -10%).</w:t>
      </w:r>
      <w:r>
        <w:rPr>
          <w:rFonts w:ascii="Calibri" w:hAnsi="Calibri"/>
          <w:color w:val="525866"/>
          <w:sz w:val="22"/>
        </w:rPr>
        <w:t xml:space="preserve"> Investigators identified shredded iceberg lettuce from Taylor Farms as potential source. Implication: Chipotle does not use iceberg lettuce; its "Food With Integrity" sourcing narrative may benefit from contrast with the outbreak.</w:t>
      </w:r>
    </w:p>
    <w:p>
      <w:pPr>
        <w:pStyle w:val="ListBullet"/>
        <w:ind w:left="360" w:hanging="360"/>
      </w:pPr>
      <w:r>
        <w:rPr>
          <w:rFonts w:ascii="Calibri" w:hAnsi="Calibri"/>
          <w:b/>
          <w:color w:val="525866"/>
          <w:sz w:val="22"/>
        </w:rPr>
        <w:t>July 24, 2026 — Tractor Supply (TSCO) reports Q2 comp of -1.5% vs. +0.2% expected; lowers FY guide.</w:t>
      </w:r>
      <w:r>
        <w:rPr>
          <w:rFonts w:ascii="Calibri" w:hAnsi="Calibri"/>
          <w:color w:val="525866"/>
          <w:sz w:val="22"/>
        </w:rPr>
        <w:t xml:space="preserve"> Implication: Signals that the lower-income rural consumer remains under pressure, which is a modest read-through risk for CMG's value-oriented customer cohort.</w:t>
      </w:r>
    </w:p>
    <w:p>
      <w:pPr>
        <w:pStyle w:val="ListBullet"/>
        <w:ind w:left="360" w:hanging="360"/>
      </w:pPr>
      <w:r>
        <w:rPr>
          <w:rFonts w:ascii="Calibri" w:hAnsi="Calibri"/>
          <w:b/>
          <w:color w:val="525866"/>
          <w:sz w:val="22"/>
        </w:rPr>
        <w:t>July 20, 2026 — Domino's (DPZ) Q2 2026 results: US comp +0.1% in line, EPS $4.07 vs. $4.18 est.</w:t>
      </w:r>
      <w:r>
        <w:rPr>
          <w:rFonts w:ascii="Calibri" w:hAnsi="Calibri"/>
          <w:color w:val="525866"/>
          <w:sz w:val="22"/>
        </w:rPr>
        <w:t xml:space="preserve"> CEO noted "QSR order counts were flat" in Q2 but DPZ drove "meaningful" order count growth. Implication: Confirms industry-wide traffic headwinds but also that strong brands with effective digital/loyalty strategies can outperform.</w:t>
      </w:r>
    </w:p>
    <w:p>
      <w:pPr>
        <w:pStyle w:val="ListBullet"/>
        <w:ind w:left="360" w:hanging="360"/>
      </w:pPr>
      <w:r>
        <w:rPr>
          <w:rFonts w:ascii="Calibri" w:hAnsi="Calibri"/>
          <w:b/>
          <w:color w:val="525866"/>
          <w:sz w:val="22"/>
        </w:rPr>
        <w:t>July 21, 2026 — Jersey Mike's IPO filing: same-store sales +2.3% in June quarter.</w:t>
      </w:r>
      <w:r>
        <w:rPr>
          <w:rFonts w:ascii="Calibri" w:hAnsi="Calibri"/>
          <w:color w:val="525866"/>
          <w:sz w:val="22"/>
        </w:rPr>
        <w:t xml:space="preserve"> Implication: Positive read-through for fast-casual demand; a new competitor entering the public market at ~24x EBITDA validates premium fast-casual valuations.</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the Q1 print — the only Form 4 activity consists of routine director equity grants (code A = award/acquisition), which carry no informational signal. The absence of any executive selling is mildly constructive but not a strong signal given the stock's underperformance.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Albert S. Baldocchi</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 not a discretionary purchase</w:t>
            </w:r>
          </w:p>
        </w:tc>
      </w:tr>
      <w:tr>
        <w:tc>
          <w:tcPr>
            <w:tcW w:type="dxa" w:w="1440"/>
          </w:tcPr>
          <w:p>
            <w:r>
              <w:rPr>
                <w:rFonts w:ascii="Calibri" w:hAnsi="Calibri"/>
                <w:sz w:val="22"/>
              </w:rPr>
              <w:t>Matt Carey</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Patricia Filikrushel</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Laura Fuentes</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Mauricio Gutierrez</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Robin S. Hickenlooper</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Scott Harlan Maw</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Joshua Ian Weinstein</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Mary A. Winston</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award</w:t>
            </w:r>
          </w:p>
        </w:tc>
      </w:tr>
      <w:tr>
        <w:tc>
          <w:tcPr>
            <w:tcW w:type="dxa" w:w="1440"/>
          </w:tcPr>
          <w:p>
            <w:r>
              <w:rPr>
                <w:rFonts w:ascii="Calibri" w:hAnsi="Calibri"/>
                <w:sz w:val="22"/>
              </w:rPr>
              <w:t>Albert S. Baldocchi</w:t>
            </w:r>
          </w:p>
        </w:tc>
        <w:tc>
          <w:tcPr>
            <w:tcW w:type="dxa" w:w="1440"/>
          </w:tcPr>
          <w:p>
            <w:r>
              <w:rPr>
                <w:rFonts w:ascii="Calibri" w:hAnsi="Calibri"/>
                <w:sz w:val="22"/>
              </w:rPr>
              <w:t>Director</w:t>
            </w:r>
          </w:p>
        </w:tc>
        <w:tc>
          <w:tcPr>
            <w:tcW w:type="dxa" w:w="1440"/>
          </w:tcPr>
          <w:p>
            <w:r>
              <w:rPr>
                <w:rFonts w:ascii="Calibri" w:hAnsi="Calibri"/>
                <w:sz w:val="22"/>
              </w:rPr>
              <w:t>Disposition (Code G — Gift)</w:t>
            </w:r>
          </w:p>
        </w:tc>
        <w:tc>
          <w:tcPr>
            <w:tcW w:type="dxa" w:w="1440"/>
          </w:tcPr>
          <w:p>
            <w:r>
              <w:rPr>
                <w:rFonts w:ascii="Calibri" w:hAnsi="Calibri"/>
                <w:sz w:val="22"/>
              </w:rPr>
              <w:t>6,672</w:t>
            </w:r>
          </w:p>
        </w:tc>
        <w:tc>
          <w:tcPr>
            <w:tcW w:type="dxa" w:w="1440"/>
          </w:tcPr>
          <w:p>
            <w:r>
              <w:rPr>
                <w:rFonts w:ascii="Calibri" w:hAnsi="Calibri"/>
                <w:sz w:val="22"/>
              </w:rPr>
              <w:t>May 20, 2026</w:t>
            </w:r>
          </w:p>
        </w:tc>
        <w:tc>
          <w:tcPr>
            <w:tcW w:type="dxa" w:w="1440"/>
          </w:tcPr>
          <w:p>
            <w:r>
              <w:rPr>
                <w:rFonts w:ascii="Calibri" w:hAnsi="Calibri"/>
                <w:sz w:val="22"/>
              </w:rPr>
              <w:t>Gift/transfer; not an open-market sale; no informational signal</w:t>
            </w:r>
          </w:p>
        </w:tc>
      </w:tr>
    </w:tbl>
    <w:p>
      <w:r>
        <w:rPr>
          <w:rFonts w:ascii="Calibri" w:hAnsi="Calibri"/>
          <w:color w:val="525866"/>
          <w:sz w:val="22"/>
        </w:rPr>
        <w:t xml:space="preserve">No open-market purchases (code P) or discretionary sales (code S) by any CMG executive or director were filed in the May–July 2026 window. All activity consists of routine annual equity grants to non-employee directors and one charitable gift transfer. </w:t>
      </w:r>
      <w:r>
        <w:rPr>
          <w:rFonts w:ascii="Calibri" w:hAnsi="Calibri"/>
          <w:b/>
          <w:color w:val="525866"/>
          <w:sz w:val="22"/>
        </w:rPr>
        <w:t>Nothing notable to flag.</w:t>
      </w:r>
    </w:p>
    <w:p>
      <w:r>
        <w:rPr>
          <w:rFonts w:ascii="Calibri" w:hAnsi="Calibri"/>
          <w:i/>
          <w:color w:val="525866"/>
          <w:sz w:val="22"/>
        </w:rPr>
        <w:t>Source: SEC Form 4 Filings Database.</w:t>
      </w:r>
    </w:p>
    <w:p>
      <w:r>
        <w:br w:type="page"/>
      </w:r>
    </w:p>
    <w:p>
      <w:pPr>
        <w:pStyle w:val="Heading2"/>
      </w:pPr>
      <w:r>
        <w:rPr>
          <w:rFonts w:ascii="Calibri" w:hAnsi="Calibri"/>
          <w:b/>
          <w:color w:val="3B4259"/>
          <w:sz w:val="28"/>
        </w:rPr>
        <w:t>Peer Commentary — Q2 2026 Read-Through</w:t>
      </w:r>
    </w:p>
    <w:p>
      <w:r>
        <w:rPr>
          <w:rFonts w:ascii="Calibri" w:hAnsi="Calibri"/>
          <w:b/>
          <w:color w:val="525866"/>
          <w:sz w:val="22"/>
        </w:rPr>
        <w:t xml:space="preserve">Key Takeaway: </w:t>
      </w:r>
      <w:r>
        <w:rPr>
          <w:rFonts w:ascii="Calibri" w:hAnsi="Calibri"/>
          <w:color w:val="525866"/>
          <w:sz w:val="22"/>
        </w:rPr>
        <w:t xml:space="preserve">Peer commentary from the Q2 2026 period (April–June 2026) paints a nuanced picture: </w:t>
      </w:r>
      <w:r>
        <w:rPr>
          <w:rFonts w:ascii="Calibri" w:hAnsi="Calibri"/>
          <w:b/>
          <w:color w:val="525866"/>
          <w:sz w:val="22"/>
        </w:rPr>
        <w:t>industry-wide QSR traffic was flat</w:t>
      </w:r>
      <w:r>
        <w:rPr>
          <w:rFonts w:ascii="Calibri" w:hAnsi="Calibri"/>
          <w:color w:val="525866"/>
          <w:sz w:val="22"/>
        </w:rPr>
        <w:t xml:space="preserve"> and beef costs hit multi-year highs in June, but fast-casual brands with strong value propositions and digital ecosystems (CAVA, DPZ) continued to drive traffic growth — a constructive read-through for CMG's own traffic recovery thesis, though the cost headwinds are real and confirmed by multiple peers.</w:t>
      </w:r>
    </w:p>
    <w:p>
      <w:r>
        <w:rPr>
          <w:rFonts w:ascii="Calibri" w:hAnsi="Calibri"/>
          <w:i/>
          <w:color w:val="525866"/>
          <w:sz w:val="22"/>
        </w:rPr>
        <w:t>Note: Only commentary that directly addresses Q2 2026 operating conditions (intra-quarter updates, Q2 actual results, or forward-looking commentary made after Q1 2026 earnings) is included below. Historical peer-quarter results are excluded.</w:t>
      </w:r>
    </w:p>
    <w:p>
      <w:pPr>
        <w:pStyle w:val="Heading3"/>
      </w:pPr>
      <w:r>
        <w:rPr>
          <w:rFonts w:ascii="Calibri" w:hAnsi="Calibri"/>
          <w:b/>
          <w:color w:val="3B4259"/>
          <w:sz w:val="24"/>
        </w:rPr>
        <w:t>1. CAVA Group (CAVA) — Q1 2026 Earnings Call (May 19, 2026) + Bernstein Conference (May 28, 2026)</w:t>
      </w:r>
    </w:p>
    <w:p>
      <w:r>
        <w:rPr>
          <w:rFonts w:ascii="Calibri" w:hAnsi="Calibri"/>
          <w:b/>
          <w:color w:val="525866"/>
          <w:sz w:val="22"/>
        </w:rPr>
        <w:t xml:space="preserve">Commentary Type: </w:t>
      </w:r>
      <w:r>
        <w:rPr>
          <w:rFonts w:ascii="Calibri" w:hAnsi="Calibri"/>
          <w:color w:val="525866"/>
          <w:sz w:val="22"/>
        </w:rPr>
        <w:t>Q2 2026 intra-quarter outlook provided at Q1 earnings and confirmed at Bernstein conference.</w:t>
      </w:r>
    </w:p>
    <w:p>
      <w:pPr>
        <w:pStyle w:val="ListBullet"/>
        <w:ind w:left="360" w:hanging="360"/>
      </w:pPr>
      <w:r>
        <w:rPr>
          <w:rFonts w:ascii="Calibri" w:hAnsi="Calibri"/>
          <w:b/>
          <w:color w:val="525866"/>
          <w:sz w:val="22"/>
        </w:rPr>
        <w:t>Q2 2026 same-restaurant sales trends "in line with Q1" and "tracking above revised full-year guidance"</w:t>
      </w:r>
      <w:r>
        <w:rPr>
          <w:rFonts w:ascii="Calibri" w:hAnsi="Calibri"/>
          <w:color w:val="525866"/>
          <w:sz w:val="22"/>
        </w:rPr>
        <w:t xml:space="preserve"> (Q1 was +9.7% SSS, +6.8% traffic). CAVA CFO Tricia Tolivar confirmed no shift in consumer behavior, with performance "very consistent across regions, age cohorts, and income cohorts."</w:t>
      </w:r>
    </w:p>
    <w:p>
      <w:pPr>
        <w:pStyle w:val="ListBullet"/>
        <w:ind w:left="360" w:hanging="360"/>
      </w:pPr>
      <w:r>
        <w:rPr>
          <w:rFonts w:ascii="Calibri" w:hAnsi="Calibri"/>
          <w:b/>
          <w:color w:val="525866"/>
          <w:sz w:val="22"/>
        </w:rPr>
        <w:t xml:space="preserve">CMG Read-Through: </w:t>
      </w:r>
      <w:r>
        <w:rPr>
          <w:rFonts w:ascii="Calibri" w:hAnsi="Calibri"/>
          <w:color w:val="525866"/>
          <w:sz w:val="22"/>
        </w:rPr>
        <w:t>CAVA's sustained strong traffic into Q2 is the most bullish peer signal for CMG — it confirms that fast-casual consumers with a strong value proposition are still spending. However, CAVA's outperformance also reflects its deliberate below-inflation pricing ("underpriced peers by more than half"), which is a strategy CMG is also pursuing (~0.9% pricing in Q1 vs. ~3%+ inflation). If CAVA's traffic is partly a function of relative value, CMG's similar pricing discipline should support its own traffic recovery.</w:t>
      </w:r>
    </w:p>
    <w:p>
      <w:pPr>
        <w:pStyle w:val="ListBullet"/>
        <w:ind w:left="360" w:hanging="360"/>
      </w:pPr>
      <w:r>
        <w:rPr>
          <w:rFonts w:ascii="Calibri" w:hAnsi="Calibri"/>
          <w:b/>
          <w:color w:val="525866"/>
          <w:sz w:val="22"/>
        </w:rPr>
        <w:t>Lower-income cohort "actually performed the strongest"</w:t>
      </w:r>
      <w:r>
        <w:rPr>
          <w:rFonts w:ascii="Calibri" w:hAnsi="Calibri"/>
          <w:color w:val="525866"/>
          <w:sz w:val="22"/>
        </w:rPr>
        <w:t xml:space="preserve"> for CAVA, contrasting with "decaying trends in some other parts of the industry." CAVA attributed this to "discount fatigue" — consumers want value as a choice, not a discount.</w:t>
      </w:r>
    </w:p>
    <w:p>
      <w:pPr>
        <w:pStyle w:val="ListBullet"/>
        <w:ind w:left="360" w:hanging="360"/>
      </w:pPr>
      <w:r>
        <w:rPr>
          <w:rFonts w:ascii="Calibri" w:hAnsi="Calibri"/>
          <w:b/>
          <w:color w:val="525866"/>
          <w:sz w:val="22"/>
        </w:rPr>
        <w:t xml:space="preserve">CMG Read-Through: </w:t>
      </w:r>
      <w:r>
        <w:rPr>
          <w:rFonts w:ascii="Calibri" w:hAnsi="Calibri"/>
          <w:color w:val="525866"/>
          <w:sz w:val="22"/>
        </w:rPr>
        <w:t>Positive signal for CMG's value positioning. If lower-income consumers are returning to fast-casual when they perceive genuine value (not just discounts), CMG's below-inflation pricing strategy and "20–30% discount to fast-casual peers" positioning should resonate.</w:t>
      </w:r>
    </w:p>
    <w:p>
      <w:pPr>
        <w:pStyle w:val="ListBullet"/>
        <w:ind w:left="360" w:hanging="360"/>
      </w:pPr>
      <w:r>
        <w:rPr>
          <w:rFonts w:ascii="Calibri" w:hAnsi="Calibri"/>
          <w:b/>
          <w:color w:val="525866"/>
          <w:sz w:val="22"/>
        </w:rPr>
        <w:t>Digital mix approaching ~40% of sales</w:t>
      </w:r>
      <w:r>
        <w:rPr>
          <w:rFonts w:ascii="Calibri" w:hAnsi="Calibri"/>
          <w:color w:val="525866"/>
          <w:sz w:val="22"/>
        </w:rPr>
        <w:t xml:space="preserve"> (up ~4% YoY). CAVA noted higher digital fees are creating a modest OpEx headwind.</w:t>
      </w:r>
    </w:p>
    <w:p>
      <w:pPr>
        <w:pStyle w:val="ListBullet"/>
        <w:ind w:left="360" w:hanging="360"/>
      </w:pPr>
      <w:r>
        <w:rPr>
          <w:rFonts w:ascii="Calibri" w:hAnsi="Calibri"/>
          <w:b/>
          <w:color w:val="525866"/>
          <w:sz w:val="22"/>
        </w:rPr>
        <w:t xml:space="preserve">CMG Read-Through: </w:t>
      </w:r>
      <w:r>
        <w:rPr>
          <w:rFonts w:ascii="Calibri" w:hAnsi="Calibri"/>
          <w:color w:val="525866"/>
          <w:sz w:val="22"/>
        </w:rPr>
        <w:t>CMG's digital mix was 38.6% in Q1 2026 — essentially at parity with CAVA. The digital fee headwind CAVA flagged is likely also present in CMG's Q2 other operating costs, consistent with management's "high-14%" other OpEx guide.</w:t>
      </w:r>
    </w:p>
    <w:p>
      <w:pPr>
        <w:pStyle w:val="ListBullet"/>
        <w:ind w:left="360" w:hanging="360"/>
      </w:pPr>
      <w:r>
        <w:rPr>
          <w:rFonts w:ascii="Calibri" w:hAnsi="Calibri"/>
          <w:b/>
          <w:color w:val="525866"/>
          <w:sz w:val="22"/>
        </w:rPr>
        <w:t>Energy/fuel surcharge headwind of 20–40 bps</w:t>
      </w:r>
      <w:r>
        <w:rPr>
          <w:rFonts w:ascii="Calibri" w:hAnsi="Calibri"/>
          <w:color w:val="525866"/>
          <w:sz w:val="22"/>
        </w:rPr>
        <w:t xml:space="preserve"> flagged for Q2–Q4 2026, with "early signs" already appearing. Polyethylene (packaging) costs also rising.</w:t>
      </w:r>
    </w:p>
    <w:p>
      <w:pPr>
        <w:pStyle w:val="ListBullet"/>
        <w:ind w:left="360" w:hanging="360"/>
      </w:pPr>
      <w:r>
        <w:rPr>
          <w:rFonts w:ascii="Calibri" w:hAnsi="Calibri"/>
          <w:b/>
          <w:color w:val="525866"/>
          <w:sz w:val="22"/>
        </w:rPr>
        <w:t xml:space="preserve">CMG Read-Through: </w:t>
      </w:r>
      <w:r>
        <w:rPr>
          <w:rFonts w:ascii="Calibri" w:hAnsi="Calibri"/>
          <w:color w:val="525866"/>
          <w:sz w:val="22"/>
        </w:rPr>
        <w:t>Confirms broader supply chain cost inflation beyond just food. CMG's "high-14%" other OpEx guide for Q2 likely incorporates similar pressures.</w:t>
      </w:r>
    </w:p>
    <w:p>
      <w:pPr>
        <w:pStyle w:val="Heading3"/>
      </w:pPr>
      <w:r>
        <w:rPr>
          <w:rFonts w:ascii="Calibri" w:hAnsi="Calibri"/>
          <w:b/>
          <w:color w:val="3B4259"/>
          <w:sz w:val="24"/>
        </w:rPr>
        <w:t>2. Shake Shack (SHAK) — William Blair Conference (June 4, 2026) + Oppenheimer Conference (June 8, 2026)</w:t>
      </w:r>
    </w:p>
    <w:p>
      <w:r>
        <w:rPr>
          <w:rFonts w:ascii="Calibri" w:hAnsi="Calibri"/>
          <w:b/>
          <w:color w:val="525866"/>
          <w:sz w:val="22"/>
        </w:rPr>
        <w:t xml:space="preserve">Commentary Type: </w:t>
      </w:r>
      <w:r>
        <w:rPr>
          <w:rFonts w:ascii="Calibri" w:hAnsi="Calibri"/>
          <w:color w:val="525866"/>
          <w:sz w:val="22"/>
        </w:rPr>
        <w:t>Intra-Q2 2026 operating update and guidance revision provided at investor conferences.</w:t>
      </w:r>
    </w:p>
    <w:p>
      <w:pPr>
        <w:pStyle w:val="ListBullet"/>
        <w:ind w:left="360" w:hanging="360"/>
      </w:pPr>
      <w:r>
        <w:rPr>
          <w:rFonts w:ascii="Calibri" w:hAnsi="Calibri"/>
          <w:b/>
          <w:color w:val="525866"/>
          <w:sz w:val="22"/>
        </w:rPr>
        <w:t>April comp was -0.6%</w:t>
      </w:r>
      <w:r>
        <w:rPr>
          <w:rFonts w:ascii="Calibri" w:hAnsi="Calibri"/>
          <w:color w:val="525866"/>
          <w:sz w:val="22"/>
        </w:rPr>
        <w:t>, but Q2 guidance of +2.5–3.0% implies acceleration in May/June. CEO Rob Lynch called April "a blip on the radar screen" after delivering +4–5% comps in January–March.</w:t>
      </w:r>
    </w:p>
    <w:p>
      <w:pPr>
        <w:pStyle w:val="ListBullet"/>
        <w:ind w:left="360" w:hanging="360"/>
      </w:pPr>
      <w:r>
        <w:rPr>
          <w:rFonts w:ascii="Calibri" w:hAnsi="Calibri"/>
          <w:b/>
          <w:color w:val="525866"/>
          <w:sz w:val="22"/>
        </w:rPr>
        <w:t xml:space="preserve">CMG Read-Through: </w:t>
      </w:r>
      <w:r>
        <w:rPr>
          <w:rFonts w:ascii="Calibri" w:hAnsi="Calibri"/>
          <w:color w:val="525866"/>
          <w:sz w:val="22"/>
        </w:rPr>
        <w:t>April softness at Shake Shack is consistent with CMG management's own commentary about a "slight softening" in March around the Iran conflict. The implied May/June acceleration at SHAK is a constructive signal for CMG's Q2 comp trajectory, suggesting the consumer environment improved as the quarter progressed.</w:t>
      </w:r>
    </w:p>
    <w:p>
      <w:pPr>
        <w:pStyle w:val="ListBullet"/>
        <w:ind w:left="360" w:hanging="360"/>
      </w:pPr>
      <w:r>
        <w:rPr>
          <w:rFonts w:ascii="Calibri" w:hAnsi="Calibri"/>
          <w:b/>
          <w:color w:val="525866"/>
          <w:sz w:val="22"/>
        </w:rPr>
        <w:t>"Highest beef prices we've ever seen in June"</w:t>
      </w:r>
      <w:r>
        <w:rPr>
          <w:rFonts w:ascii="Calibri" w:hAnsi="Calibri"/>
          <w:color w:val="525866"/>
          <w:sz w:val="22"/>
        </w:rPr>
        <w:t xml:space="preserve"> — beef inflation escalated from mid-teens to high-teens within four weeks heading into June. Beef is ~30% of SHAK's commodity basket. CEO noted "the supply would have caught up by now, and it's not."</w:t>
      </w:r>
    </w:p>
    <w:p>
      <w:pPr>
        <w:pStyle w:val="ListBullet"/>
        <w:ind w:left="360" w:hanging="360"/>
      </w:pPr>
      <w:r>
        <w:rPr>
          <w:rFonts w:ascii="Calibri" w:hAnsi="Calibri"/>
          <w:b/>
          <w:color w:val="525866"/>
          <w:sz w:val="22"/>
        </w:rPr>
        <w:t xml:space="preserve">CMG Read-Through: </w:t>
      </w:r>
      <w:r>
        <w:rPr>
          <w:rFonts w:ascii="Calibri" w:hAnsi="Calibri"/>
          <w:color w:val="525866"/>
          <w:sz w:val="22"/>
        </w:rPr>
        <w:t>This is the most direct and important cost read-through for CMG. Beef is a primary protein at Chipotle (steak, barbacoa), and management already guided Q2 cost of sales to step up to ~30% (from 29.6% in Q1) citing beef and avocado. SHAK's confirmation that June beef hit all-time highs validates that CMG's food cost headwind is real and likely at the high end of guidance.</w:t>
      </w:r>
    </w:p>
    <w:p>
      <w:pPr>
        <w:pStyle w:val="ListBullet"/>
        <w:ind w:left="360" w:hanging="360"/>
      </w:pPr>
      <w:r>
        <w:rPr>
          <w:rFonts w:ascii="Calibri" w:hAnsi="Calibri"/>
          <w:b/>
          <w:color w:val="525866"/>
          <w:sz w:val="22"/>
        </w:rPr>
        <w:t>Fuel surcharges in supply chain and distribution network</w:t>
      </w:r>
      <w:r>
        <w:rPr>
          <w:rFonts w:ascii="Calibri" w:hAnsi="Calibri"/>
          <w:color w:val="525866"/>
          <w:sz w:val="22"/>
        </w:rPr>
        <w:t xml:space="preserve"> noted as an incremental cost pressure.</w:t>
      </w:r>
    </w:p>
    <w:p>
      <w:pPr>
        <w:pStyle w:val="ListBullet"/>
        <w:ind w:left="360" w:hanging="360"/>
      </w:pPr>
      <w:r>
        <w:rPr>
          <w:rFonts w:ascii="Calibri" w:hAnsi="Calibri"/>
          <w:b/>
          <w:color w:val="525866"/>
          <w:sz w:val="22"/>
        </w:rPr>
        <w:t xml:space="preserve">CMG Read-Through: </w:t>
      </w:r>
      <w:r>
        <w:rPr>
          <w:rFonts w:ascii="Calibri" w:hAnsi="Calibri"/>
          <w:color w:val="525866"/>
          <w:sz w:val="22"/>
        </w:rPr>
        <w:t>Consistent with CAVA's energy cost commentary; confirms broader logistics inflation that CMG would also face.</w:t>
      </w:r>
    </w:p>
    <w:p>
      <w:pPr>
        <w:pStyle w:val="ListBullet"/>
        <w:ind w:left="360" w:hanging="360"/>
      </w:pPr>
      <w:r>
        <w:rPr>
          <w:rFonts w:ascii="Calibri" w:hAnsi="Calibri"/>
          <w:b/>
          <w:color w:val="525866"/>
          <w:sz w:val="22"/>
        </w:rPr>
        <w:t>World Cup tourism traffic "less than optimized" in major cities</w:t>
      </w:r>
      <w:r>
        <w:rPr>
          <w:rFonts w:ascii="Calibri" w:hAnsi="Calibri"/>
          <w:color w:val="525866"/>
          <w:sz w:val="22"/>
        </w:rPr>
        <w:t>; SHAK removed World Cup revenue from its Q2 guide.</w:t>
      </w:r>
    </w:p>
    <w:p>
      <w:pPr>
        <w:pStyle w:val="ListBullet"/>
        <w:ind w:left="360" w:hanging="360"/>
      </w:pPr>
      <w:r>
        <w:rPr>
          <w:rFonts w:ascii="Calibri" w:hAnsi="Calibri"/>
          <w:b/>
          <w:color w:val="525866"/>
          <w:sz w:val="22"/>
        </w:rPr>
        <w:t xml:space="preserve">CMG Read-Through: </w:t>
      </w:r>
      <w:r>
        <w:rPr>
          <w:rFonts w:ascii="Calibri" w:hAnsi="Calibri"/>
          <w:color w:val="525866"/>
          <w:sz w:val="22"/>
        </w:rPr>
        <w:t>Modest negative for CMG locations in World Cup host cities (e.g., Dallas, Los Angeles, New York), though CMG's suburban/strip-mall footprint is less tourist-dependent than SHAK's urban locations.</w:t>
      </w:r>
    </w:p>
    <w:p>
      <w:pPr>
        <w:pStyle w:val="ListBullet"/>
        <w:ind w:left="360" w:hanging="360"/>
      </w:pPr>
      <w:r>
        <w:rPr>
          <w:rFonts w:ascii="Calibri" w:hAnsi="Calibri"/>
          <w:b/>
          <w:color w:val="525866"/>
          <w:sz w:val="22"/>
        </w:rPr>
        <w:t>Digital app driving "over 30% traffic growth"</w:t>
      </w:r>
      <w:r>
        <w:rPr>
          <w:rFonts w:ascii="Calibri" w:hAnsi="Calibri"/>
          <w:color w:val="525866"/>
          <w:sz w:val="22"/>
        </w:rPr>
        <w:t xml:space="preserve"> despite industry-wide traffic declines; SHAK's value promotion ("1-3-5" transitioning to "2-4-6") driving new guest acquisition and frequency.</w:t>
      </w:r>
    </w:p>
    <w:p>
      <w:pPr>
        <w:pStyle w:val="ListBullet"/>
        <w:ind w:left="360" w:hanging="360"/>
      </w:pPr>
      <w:r>
        <w:rPr>
          <w:rFonts w:ascii="Calibri" w:hAnsi="Calibri"/>
          <w:b/>
          <w:color w:val="525866"/>
          <w:sz w:val="22"/>
        </w:rPr>
        <w:t xml:space="preserve">CMG Read-Through: </w:t>
      </w:r>
      <w:r>
        <w:rPr>
          <w:rFonts w:ascii="Calibri" w:hAnsi="Calibri"/>
          <w:color w:val="525866"/>
          <w:sz w:val="22"/>
        </w:rPr>
        <w:t>Reinforces the importance of CMG's loyalty relaunch ("Rewards on Repeat") and digital engagement as traffic drivers. CMG's ~25% increase in daily enrollees post-relaunch is a positive parallel.</w:t>
      </w:r>
    </w:p>
    <w:p>
      <w:pPr>
        <w:pStyle w:val="Heading3"/>
      </w:pPr>
      <w:r>
        <w:rPr>
          <w:rFonts w:ascii="Calibri" w:hAnsi="Calibri"/>
          <w:b/>
          <w:color w:val="3B4259"/>
          <w:sz w:val="24"/>
        </w:rPr>
        <w:t>3. Domino's Pizza (DPZ) — Q2 2026 Earnings Call (July 20, 2026)</w:t>
      </w:r>
    </w:p>
    <w:p>
      <w:r>
        <w:rPr>
          <w:rFonts w:ascii="Calibri" w:hAnsi="Calibri"/>
          <w:b/>
          <w:color w:val="525866"/>
          <w:sz w:val="22"/>
        </w:rPr>
        <w:t xml:space="preserve">Commentary Type: </w:t>
      </w:r>
      <w:r>
        <w:rPr>
          <w:rFonts w:ascii="Calibri" w:hAnsi="Calibri"/>
          <w:color w:val="525866"/>
          <w:sz w:val="22"/>
        </w:rPr>
        <w:t>Q2 2026 actual results and management commentary on the operating environment.</w:t>
      </w:r>
    </w:p>
    <w:p>
      <w:pPr>
        <w:pStyle w:val="ListBullet"/>
        <w:ind w:left="360" w:hanging="360"/>
      </w:pPr>
      <w:r>
        <w:rPr>
          <w:rFonts w:ascii="Calibri" w:hAnsi="Calibri"/>
          <w:b/>
          <w:color w:val="525866"/>
          <w:sz w:val="22"/>
        </w:rPr>
        <w:t>"QSR industry order counts were flat in Q2"</w:t>
      </w:r>
      <w:r>
        <w:rPr>
          <w:rFonts w:ascii="Calibri" w:hAnsi="Calibri"/>
          <w:color w:val="525866"/>
          <w:sz w:val="22"/>
        </w:rPr>
        <w:t xml:space="preserve"> due to "macroeconomic uncertainty." DPZ drove "meaningful" order count growth above the flat industry, with "millions of new customers" acquired in both Q1 and Q2.</w:t>
      </w:r>
    </w:p>
    <w:p>
      <w:pPr>
        <w:pStyle w:val="ListBullet"/>
        <w:ind w:left="360" w:hanging="360"/>
      </w:pPr>
      <w:r>
        <w:rPr>
          <w:rFonts w:ascii="Calibri" w:hAnsi="Calibri"/>
          <w:b/>
          <w:color w:val="525866"/>
          <w:sz w:val="22"/>
        </w:rPr>
        <w:t xml:space="preserve">CMG Read-Through: </w:t>
      </w:r>
      <w:r>
        <w:rPr>
          <w:rFonts w:ascii="Calibri" w:hAnsi="Calibri"/>
          <w:color w:val="525866"/>
          <w:sz w:val="22"/>
        </w:rPr>
        <w:t>The flat QSR industry traffic backdrop is a headwind for CMG, but DPZ's ability to outperform through loyalty and digital channels is a positive template. CMG's own loyalty relaunch and HEAT equipment rollout are designed to drive exactly this kind of above-industry traffic growth.</w:t>
      </w:r>
    </w:p>
    <w:p>
      <w:pPr>
        <w:pStyle w:val="ListBullet"/>
        <w:ind w:left="360" w:hanging="360"/>
      </w:pPr>
      <w:r>
        <w:rPr>
          <w:rFonts w:ascii="Calibri" w:hAnsi="Calibri"/>
          <w:b/>
          <w:color w:val="525866"/>
          <w:sz w:val="22"/>
        </w:rPr>
        <w:t>DPZ's Q2 comp missed on "ticket" (not traffic)</w:t>
      </w:r>
      <w:r>
        <w:rPr>
          <w:rFonts w:ascii="Calibri" w:hAnsi="Calibri"/>
          <w:color w:val="525866"/>
          <w:sz w:val="22"/>
        </w:rPr>
        <w:t xml:space="preserve"> — a premium product ("slice sauce") failed to resonate, dragging average check. CEO noted "the messaging wasn't compelling enough."</w:t>
      </w:r>
    </w:p>
    <w:p>
      <w:pPr>
        <w:pStyle w:val="ListBullet"/>
        <w:ind w:left="360" w:hanging="360"/>
      </w:pPr>
      <w:r>
        <w:rPr>
          <w:rFonts w:ascii="Calibri" w:hAnsi="Calibri"/>
          <w:b/>
          <w:color w:val="525866"/>
          <w:sz w:val="22"/>
        </w:rPr>
        <w:t xml:space="preserve">CMG Read-Through: </w:t>
      </w:r>
      <w:r>
        <w:rPr>
          <w:rFonts w:ascii="Calibri" w:hAnsi="Calibri"/>
          <w:color w:val="525866"/>
          <w:sz w:val="22"/>
        </w:rPr>
        <w:t>Cautionary tale for CMG's LTO strategy — product execution and marketing clarity matter. CMG's Chipotle Honey Chicken (launched during Q2) has historically been a strong performer, reducing this risk.</w:t>
      </w:r>
    </w:p>
    <w:p>
      <w:pPr>
        <w:pStyle w:val="ListBullet"/>
        <w:ind w:left="360" w:hanging="360"/>
      </w:pPr>
      <w:r>
        <w:rPr>
          <w:rFonts w:ascii="Calibri" w:hAnsi="Calibri"/>
          <w:b/>
          <w:color w:val="525866"/>
          <w:sz w:val="22"/>
        </w:rPr>
        <w:t>Franchisee profitability pressured in Q2</w:t>
      </w:r>
      <w:r>
        <w:rPr>
          <w:rFonts w:ascii="Calibri" w:hAnsi="Calibri"/>
          <w:color w:val="525866"/>
          <w:sz w:val="22"/>
        </w:rPr>
        <w:t xml:space="preserve"> due to ticket drag; DPZ reduced US net store growth outlook citing "macro pressure on pipeline."</w:t>
      </w:r>
    </w:p>
    <w:p>
      <w:pPr>
        <w:pStyle w:val="ListBullet"/>
        <w:ind w:left="360" w:hanging="360"/>
      </w:pPr>
      <w:r>
        <w:rPr>
          <w:rFonts w:ascii="Calibri" w:hAnsi="Calibri"/>
          <w:b/>
          <w:color w:val="525866"/>
          <w:sz w:val="22"/>
        </w:rPr>
        <w:t xml:space="preserve">CMG Read-Through: </w:t>
      </w:r>
      <w:r>
        <w:rPr>
          <w:rFonts w:ascii="Calibri" w:hAnsi="Calibri"/>
          <w:color w:val="525866"/>
          <w:sz w:val="22"/>
        </w:rPr>
        <w:t>Not directly applicable (CMG is company-owned), but the macro pressure on new unit development is a broader industry signal. CMG's own unit economics remain strong (60% year-2 ROI), insulating it from this risk.</w:t>
      </w:r>
    </w:p>
    <w:p>
      <w:pPr>
        <w:pStyle w:val="ListBullet"/>
        <w:ind w:left="360" w:hanging="360"/>
      </w:pPr>
      <w:r>
        <w:rPr>
          <w:rFonts w:ascii="Calibri" w:hAnsi="Calibri"/>
          <w:b/>
          <w:color w:val="525866"/>
          <w:sz w:val="22"/>
        </w:rPr>
        <w:t>Pricing was only +0.2% in Q2</w:t>
      </w:r>
      <w:r>
        <w:rPr>
          <w:rFonts w:ascii="Calibri" w:hAnsi="Calibri"/>
          <w:color w:val="525866"/>
          <w:sz w:val="22"/>
        </w:rPr>
        <w:t>; CEO emphasized "disciplined pricing" as the winning strategy for QSR brands over time.</w:t>
      </w:r>
    </w:p>
    <w:p>
      <w:pPr>
        <w:pStyle w:val="ListBullet"/>
        <w:ind w:left="360" w:hanging="360"/>
      </w:pPr>
      <w:r>
        <w:rPr>
          <w:rFonts w:ascii="Calibri" w:hAnsi="Calibri"/>
          <w:b/>
          <w:color w:val="525866"/>
          <w:sz w:val="22"/>
        </w:rPr>
        <w:t xml:space="preserve">CMG Read-Through: </w:t>
      </w:r>
      <w:r>
        <w:rPr>
          <w:rFonts w:ascii="Calibri" w:hAnsi="Calibri"/>
          <w:color w:val="525866"/>
          <w:sz w:val="22"/>
        </w:rPr>
        <w:t>Validates CMG's own below-inflation pricing philosophy. The industry is broadly restraining price increases to protect traffic, which means CMG's ~1.5% Q2 pricing is actually above the DPZ benchmark — a potential modest check headwind but also a sign of CMG's stronger pricing power.</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CMG Implication</w:t>
            </w:r>
          </w:p>
        </w:tc>
      </w:tr>
      <w:tr>
        <w:tc>
          <w:tcPr>
            <w:tcW w:type="dxa" w:w="2160"/>
          </w:tcPr>
          <w:p>
            <w:r>
              <w:rPr>
                <w:rFonts w:ascii="Calibri" w:hAnsi="Calibri"/>
                <w:sz w:val="22"/>
              </w:rPr>
              <w:t>Consumer Traffic</w:t>
            </w:r>
          </w:p>
        </w:tc>
        <w:tc>
          <w:tcPr>
            <w:tcW w:type="dxa" w:w="2160"/>
          </w:tcPr>
          <w:p>
            <w:r>
              <w:rPr>
                <w:rFonts w:ascii="Calibri" w:hAnsi="Calibri"/>
                <w:sz w:val="22"/>
              </w:rPr>
              <w:t>QSR industry flat; fast-casual with strong value outperforming</w:t>
            </w:r>
          </w:p>
        </w:tc>
        <w:tc>
          <w:tcPr>
            <w:tcW w:type="dxa" w:w="2160"/>
          </w:tcPr>
          <w:p>
            <w:r>
              <w:rPr>
                <w:rFonts w:ascii="Calibri" w:hAnsi="Calibri"/>
                <w:sz w:val="22"/>
              </w:rPr>
              <w:t>DPZ Q2 call; CAVA Q1 call</w:t>
            </w:r>
          </w:p>
        </w:tc>
        <w:tc>
          <w:tcPr>
            <w:tcW w:type="dxa" w:w="2160"/>
          </w:tcPr>
          <w:p>
            <w:r>
              <w:rPr>
                <w:rFonts w:ascii="Calibri" w:hAnsi="Calibri"/>
                <w:b/>
                <w:color w:val="30A46C"/>
                <w:sz w:val="22"/>
              </w:rPr>
              <w:t>Constructive</w:t>
            </w:r>
            <w:r>
              <w:rPr>
                <w:rFonts w:ascii="Calibri" w:hAnsi="Calibri"/>
                <w:sz w:val="22"/>
              </w:rPr>
              <w:t xml:space="preserve"> — CMG's value positioning and loyalty relaunch should support above-industry traffic</w:t>
            </w:r>
          </w:p>
        </w:tc>
      </w:tr>
      <w:tr>
        <w:tc>
          <w:tcPr>
            <w:tcW w:type="dxa" w:w="2160"/>
          </w:tcPr>
          <w:p>
            <w:r>
              <w:rPr>
                <w:rFonts w:ascii="Calibri" w:hAnsi="Calibri"/>
                <w:sz w:val="22"/>
              </w:rPr>
              <w:t>Beef Costs</w:t>
            </w:r>
          </w:p>
        </w:tc>
        <w:tc>
          <w:tcPr>
            <w:tcW w:type="dxa" w:w="2160"/>
          </w:tcPr>
          <w:p>
            <w:r>
              <w:rPr>
                <w:rFonts w:ascii="Calibri" w:hAnsi="Calibri"/>
                <w:sz w:val="22"/>
              </w:rPr>
              <w:t>June beef at all-time highs; high-teens inflation; supply not recovering</w:t>
            </w:r>
          </w:p>
        </w:tc>
        <w:tc>
          <w:tcPr>
            <w:tcW w:type="dxa" w:w="2160"/>
          </w:tcPr>
          <w:p>
            <w:r>
              <w:rPr>
                <w:rFonts w:ascii="Calibri" w:hAnsi="Calibri"/>
                <w:sz w:val="22"/>
              </w:rPr>
              <w:t>SHAK (Jun 4 &amp; Jun 8)</w:t>
            </w:r>
          </w:p>
        </w:tc>
        <w:tc>
          <w:tcPr>
            <w:tcW w:type="dxa" w:w="2160"/>
          </w:tcPr>
          <w:p>
            <w:r>
              <w:rPr>
                <w:rFonts w:ascii="Calibri" w:hAnsi="Calibri"/>
                <w:b/>
                <w:color w:val="E5484D"/>
                <w:sz w:val="22"/>
              </w:rPr>
              <w:t>Negative</w:t>
            </w:r>
            <w:r>
              <w:rPr>
                <w:rFonts w:ascii="Calibri" w:hAnsi="Calibri"/>
                <w:sz w:val="22"/>
              </w:rPr>
              <w:t xml:space="preserve"> — validates CMG's ~30% cost of sales guide; margin risk at high end</w:t>
            </w:r>
          </w:p>
        </w:tc>
      </w:tr>
      <w:tr>
        <w:tc>
          <w:tcPr>
            <w:tcW w:type="dxa" w:w="2160"/>
          </w:tcPr>
          <w:p>
            <w:r>
              <w:rPr>
                <w:rFonts w:ascii="Calibri" w:hAnsi="Calibri"/>
                <w:sz w:val="22"/>
              </w:rPr>
              <w:t>Pricing Environment</w:t>
            </w:r>
          </w:p>
        </w:tc>
        <w:tc>
          <w:tcPr>
            <w:tcW w:type="dxa" w:w="2160"/>
          </w:tcPr>
          <w:p>
            <w:r>
              <w:rPr>
                <w:rFonts w:ascii="Calibri" w:hAnsi="Calibri"/>
                <w:sz w:val="22"/>
              </w:rPr>
              <w:t>Industry restraining price increases; value perception critical</w:t>
            </w:r>
          </w:p>
        </w:tc>
        <w:tc>
          <w:tcPr>
            <w:tcW w:type="dxa" w:w="2160"/>
          </w:tcPr>
          <w:p>
            <w:r>
              <w:rPr>
                <w:rFonts w:ascii="Calibri" w:hAnsi="Calibri"/>
                <w:sz w:val="22"/>
              </w:rPr>
              <w:t>SHAK, DPZ, CAVA</w:t>
            </w:r>
          </w:p>
        </w:tc>
        <w:tc>
          <w:tcPr>
            <w:tcW w:type="dxa" w:w="2160"/>
          </w:tcPr>
          <w:p>
            <w:r>
              <w:rPr>
                <w:rFonts w:ascii="Calibri" w:hAnsi="Calibri"/>
                <w:b/>
                <w:color w:val="002FA7"/>
                <w:sz w:val="22"/>
              </w:rPr>
              <w:t>Neutral</w:t>
            </w:r>
            <w:r>
              <w:rPr>
                <w:rFonts w:ascii="Calibri" w:hAnsi="Calibri"/>
                <w:sz w:val="22"/>
              </w:rPr>
              <w:t xml:space="preserve"> — CMG's ~1.5% pricing is above DPZ but below inflation; consistent with strategy</w:t>
            </w:r>
          </w:p>
        </w:tc>
      </w:tr>
      <w:tr>
        <w:tc>
          <w:tcPr>
            <w:tcW w:type="dxa" w:w="2160"/>
          </w:tcPr>
          <w:p>
            <w:r>
              <w:rPr>
                <w:rFonts w:ascii="Calibri" w:hAnsi="Calibri"/>
                <w:sz w:val="22"/>
              </w:rPr>
              <w:t>Digital / Loyalty</w:t>
            </w:r>
          </w:p>
        </w:tc>
        <w:tc>
          <w:tcPr>
            <w:tcW w:type="dxa" w:w="2160"/>
          </w:tcPr>
          <w:p>
            <w:r>
              <w:rPr>
                <w:rFonts w:ascii="Calibri" w:hAnsi="Calibri"/>
                <w:sz w:val="22"/>
              </w:rPr>
              <w:t>Digital driving traffic growth above industry; loyalty program enrollment key</w:t>
            </w:r>
          </w:p>
        </w:tc>
        <w:tc>
          <w:tcPr>
            <w:tcW w:type="dxa" w:w="2160"/>
          </w:tcPr>
          <w:p>
            <w:r>
              <w:rPr>
                <w:rFonts w:ascii="Calibri" w:hAnsi="Calibri"/>
                <w:sz w:val="22"/>
              </w:rPr>
              <w:t>SHAK, CAVA, DPZ</w:t>
            </w:r>
          </w:p>
        </w:tc>
        <w:tc>
          <w:tcPr>
            <w:tcW w:type="dxa" w:w="2160"/>
          </w:tcPr>
          <w:p>
            <w:r>
              <w:rPr>
                <w:rFonts w:ascii="Calibri" w:hAnsi="Calibri"/>
                <w:b/>
                <w:color w:val="30A46C"/>
                <w:sz w:val="22"/>
              </w:rPr>
              <w:t>Constructive</w:t>
            </w:r>
            <w:r>
              <w:rPr>
                <w:rFonts w:ascii="Calibri" w:hAnsi="Calibri"/>
                <w:sz w:val="22"/>
              </w:rPr>
              <w:t xml:space="preserve"> — CMG's rewards relaunch and 38.6% digital mix well-positioned</w:t>
            </w:r>
          </w:p>
        </w:tc>
      </w:tr>
      <w:tr>
        <w:tc>
          <w:tcPr>
            <w:tcW w:type="dxa" w:w="2160"/>
          </w:tcPr>
          <w:p>
            <w:r>
              <w:rPr>
                <w:rFonts w:ascii="Calibri" w:hAnsi="Calibri"/>
                <w:sz w:val="22"/>
              </w:rPr>
              <w:t>Supply Chain / Energy</w:t>
            </w:r>
          </w:p>
        </w:tc>
        <w:tc>
          <w:tcPr>
            <w:tcW w:type="dxa" w:w="2160"/>
          </w:tcPr>
          <w:p>
            <w:r>
              <w:rPr>
                <w:rFonts w:ascii="Calibri" w:hAnsi="Calibri"/>
                <w:sz w:val="22"/>
              </w:rPr>
              <w:t>Fuel surcharges and energy costs rising; 20–40 bps headwind flagged</w:t>
            </w:r>
          </w:p>
        </w:tc>
        <w:tc>
          <w:tcPr>
            <w:tcW w:type="dxa" w:w="2160"/>
          </w:tcPr>
          <w:p>
            <w:r>
              <w:rPr>
                <w:rFonts w:ascii="Calibri" w:hAnsi="Calibri"/>
                <w:sz w:val="22"/>
              </w:rPr>
              <w:t>CAVA Q1 call; SHAK conferences</w:t>
            </w:r>
          </w:p>
        </w:tc>
        <w:tc>
          <w:tcPr>
            <w:tcW w:type="dxa" w:w="2160"/>
          </w:tcPr>
          <w:p>
            <w:r>
              <w:rPr>
                <w:rFonts w:ascii="Calibri" w:hAnsi="Calibri"/>
                <w:b/>
                <w:color w:val="E5484D"/>
                <w:sz w:val="22"/>
              </w:rPr>
              <w:t>Negative</w:t>
            </w:r>
            <w:r>
              <w:rPr>
                <w:rFonts w:ascii="Calibri" w:hAnsi="Calibri"/>
                <w:sz w:val="22"/>
              </w:rPr>
              <w:t xml:space="preserve"> — Consistent with CMG's "high-14%" other OpEx guide; no surprise</w:t>
            </w:r>
          </w:p>
        </w:tc>
      </w:tr>
      <w:tr>
        <w:tc>
          <w:tcPr>
            <w:tcW w:type="dxa" w:w="2160"/>
          </w:tcPr>
          <w:p>
            <w:r>
              <w:rPr>
                <w:rFonts w:ascii="Calibri" w:hAnsi="Calibri"/>
                <w:sz w:val="22"/>
              </w:rPr>
              <w:t>Lower-Income Consumer</w:t>
            </w:r>
          </w:p>
        </w:tc>
        <w:tc>
          <w:tcPr>
            <w:tcW w:type="dxa" w:w="2160"/>
          </w:tcPr>
          <w:p>
            <w:r>
              <w:rPr>
                <w:rFonts w:ascii="Calibri" w:hAnsi="Calibri"/>
                <w:sz w:val="22"/>
              </w:rPr>
              <w:t>Lower-income cohort outperforming at CAVA; "discount fatigue" driving value-seeking</w:t>
            </w:r>
          </w:p>
        </w:tc>
        <w:tc>
          <w:tcPr>
            <w:tcW w:type="dxa" w:w="2160"/>
          </w:tcPr>
          <w:p>
            <w:r>
              <w:rPr>
                <w:rFonts w:ascii="Calibri" w:hAnsi="Calibri"/>
                <w:sz w:val="22"/>
              </w:rPr>
              <w:t>CAVA Bernstein (May 28)</w:t>
            </w:r>
          </w:p>
        </w:tc>
        <w:tc>
          <w:tcPr>
            <w:tcW w:type="dxa" w:w="2160"/>
          </w:tcPr>
          <w:p>
            <w:r>
              <w:rPr>
                <w:rFonts w:ascii="Calibri" w:hAnsi="Calibri"/>
                <w:b/>
                <w:color w:val="30A46C"/>
                <w:sz w:val="22"/>
              </w:rPr>
              <w:t>Constructive</w:t>
            </w:r>
            <w:r>
              <w:rPr>
                <w:rFonts w:ascii="Calibri" w:hAnsi="Calibri"/>
                <w:sz w:val="22"/>
              </w:rPr>
              <w:t xml:space="preserve"> — CMG's value gap vs. peers should attract value-conscious consumers</w:t>
            </w:r>
          </w:p>
        </w:tc>
      </w:tr>
      <w:tr>
        <w:tc>
          <w:tcPr>
            <w:tcW w:type="dxa" w:w="2160"/>
          </w:tcPr>
          <w:p>
            <w:r>
              <w:rPr>
                <w:rFonts w:ascii="Calibri" w:hAnsi="Calibri"/>
                <w:sz w:val="22"/>
              </w:rPr>
              <w:t>April Softness / May-June Recovery</w:t>
            </w:r>
          </w:p>
        </w:tc>
        <w:tc>
          <w:tcPr>
            <w:tcW w:type="dxa" w:w="2160"/>
          </w:tcPr>
          <w:p>
            <w:r>
              <w:rPr>
                <w:rFonts w:ascii="Calibri" w:hAnsi="Calibri"/>
                <w:sz w:val="22"/>
              </w:rPr>
              <w:t>April comps soft (-0.6% at SHAK); implied acceleration in May/June</w:t>
            </w:r>
          </w:p>
        </w:tc>
        <w:tc>
          <w:tcPr>
            <w:tcW w:type="dxa" w:w="2160"/>
          </w:tcPr>
          <w:p>
            <w:r>
              <w:rPr>
                <w:rFonts w:ascii="Calibri" w:hAnsi="Calibri"/>
                <w:sz w:val="22"/>
              </w:rPr>
              <w:t>SHAK (Jun 4 &amp; Jun 8)</w:t>
            </w:r>
          </w:p>
        </w:tc>
        <w:tc>
          <w:tcPr>
            <w:tcW w:type="dxa" w:w="2160"/>
          </w:tcPr>
          <w:p>
            <w:r>
              <w:rPr>
                <w:rFonts w:ascii="Calibri" w:hAnsi="Calibri"/>
                <w:b/>
                <w:color w:val="30A46C"/>
                <w:sz w:val="22"/>
              </w:rPr>
              <w:t>Constructive</w:t>
            </w:r>
            <w:r>
              <w:rPr>
                <w:rFonts w:ascii="Calibri" w:hAnsi="Calibri"/>
                <w:sz w:val="22"/>
              </w:rPr>
              <w:t xml:space="preserve"> — Consistent with CMG's own April step-up from Cilantro Lime Sauce and Honey Chicken launch</w:t>
            </w:r>
          </w:p>
        </w:tc>
      </w:tr>
    </w:tbl>
    <w:p>
      <w:r>
        <w:rPr>
          <w:rFonts w:ascii="Calibri" w:hAnsi="Calibri"/>
          <w:i/>
          <w:color w:val="525866"/>
          <w:sz w:val="22"/>
        </w:rPr>
        <w:t>Sources: CAVA Q1 2026 Earnings Call (May 19, 2026); CAVA Bernstein 42nd Annual Strategic Decisions Conference (May 28, 2026); Shake Shack William Blair Growth Stock Conference (June 4, 2026); Shake Shack Oppenheimer Consumer Growth and E-Commerce Conference (June 8, 2026); Domino's Pizza Q2 2026 Earnings Call (July 20,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