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CMS Energy before writing the preview. Let me pull together recent filings, transcripts, guidance, and news.I'll read the most recent earnings materials (Q1 2026 call and release) and the prior quarters for context.Now let me get the year-ago Q2 2025 comparison and recent news/analyst context.Let me pull recent news on key catalysts (IRP filing, June electric rate case, gas rate case order, data centers) and check the Q4 2025 call for the full-year setup.I now have what I need. Here's the earnings preview.</w:t>
      </w:r>
    </w:p>
    <w:bookmarkStart w:id="17" w:name="X9c89241dacf596c47ada0165e267721c1eb9f5a"/>
    <w:p>
      <w:pPr>
        <w:pStyle w:val="Heading1"/>
      </w:pPr>
      <w:r>
        <w:t xml:space="preserve">CMS Energy (NYSE: CMS) — Q2 2026 Earnings Preview</w:t>
      </w:r>
    </w:p>
    <w:bookmarkStart w:id="9" w:name="Xff847dec7fb56c3f87e450dc8114d789626fd5d"/>
    <w:p>
      <w:pPr>
        <w:pStyle w:val="Heading3"/>
      </w:pPr>
      <w:r>
        <w:t xml:space="preserve">Report expected before market open, Tuesday, July 28, 2026 · Earnings call to follow</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CMS goes into Q2 as a "reaffirm-and-execute" story. Management has told investors all year it is tracking toward the</w:t>
      </w:r>
      <w:r>
        <w:t xml:space="preserve"> </w:t>
      </w:r>
      <w:r>
        <w:rPr>
          <w:b/>
          <w:bCs/>
        </w:rPr>
        <w:t xml:space="preserve">high end</w:t>
      </w:r>
      <w:r>
        <w:t xml:space="preserve"> </w:t>
      </w:r>
      <w:r>
        <w:t xml:space="preserve">of 2026 guidance, so the print itself is unlikely to be the story. The story is the</w:t>
      </w:r>
      <w:r>
        <w:t xml:space="preserve"> </w:t>
      </w:r>
      <w:r>
        <w:rPr>
          <w:b/>
          <w:bCs/>
        </w:rPr>
        <w:t xml:space="preserve">catalyst stack that has piled up since the Q1 call</w:t>
      </w:r>
      <w:r>
        <w:t xml:space="preserve"> </w:t>
      </w:r>
      <w:r>
        <w:t xml:space="preserve">— a newly filed 20-year IRP, a fresh electric rate case, a gas rate case order approaching, a $3B ATM launched in May, a Moody's negative outlook to defend, and — above all — whether the long-teased hyperscaler data-center contract finally gets signed.</w:t>
      </w:r>
    </w:p>
    <w:p>
      <w:r>
        <w:pict>
          <v:rect style="width:0;height:1.5pt" o:hralign="center" o:hrstd="t" o:hr="t"/>
        </w:pict>
      </w:r>
    </w:p>
    <w:bookmarkEnd w:id="10"/>
    <w:bookmarkStart w:id="11" w:name="what-to-watch-on-the-numbers"/>
    <w:p>
      <w:pPr>
        <w:pStyle w:val="Heading2"/>
      </w:pPr>
      <w:r>
        <w:t xml:space="preserve">What to watch on the numbers</w:t>
      </w:r>
    </w:p>
    <w:p>
      <w:pPr>
        <w:pStyle w:val="FirstParagraph"/>
      </w:pPr>
      <w:r>
        <w:rPr>
          <w:b/>
          <w:bCs/>
        </w:rPr>
        <w:t xml:space="preserve">Guidance is the anchor.</w:t>
      </w:r>
      <w:r>
        <w:t xml:space="preserve"> </w:t>
      </w:r>
      <w:r>
        <w:t xml:space="preserve">CMS reaffirmed</w:t>
      </w:r>
      <w:r>
        <w:t xml:space="preserve"> </w:t>
      </w:r>
      <w:r>
        <w:rPr>
          <w:b/>
          <w:bCs/>
        </w:rPr>
        <w:t xml:space="preserve">2026 adjusted EPS guidance of</w:t>
      </w:r>
      <w:r>
        <w:rPr>
          <w:b/>
          <w:bCs/>
        </w:rPr>
        <w:t xml:space="preserve"> </w:t>
      </w:r>
      <m:oMath>
        <m:r>
          <m:t>3.83</m:t>
        </m:r>
        <m:r>
          <m:rPr>
            <m:sty m:val="p"/>
          </m:rPr>
          <m:t>–</m:t>
        </m:r>
      </m:oMath>
      <w:r>
        <w:rPr>
          <w:b/>
          <w:bCs/>
        </w:rPr>
        <w:t xml:space="preserve">3.90</w:t>
      </w:r>
      <w:r>
        <w:t xml:space="preserve">, with "continued confidence toward the high end," and reiterated</w:t>
      </w:r>
      <w:r>
        <w:t xml:space="preserve"> </w:t>
      </w:r>
      <w:r>
        <w:rPr>
          <w:b/>
          <w:bCs/>
        </w:rPr>
        <w:t xml:space="preserve">long-term 6–8% adjusted EPS growth off the high end</w:t>
      </w:r>
      <w:r>
        <w:t xml:space="preserve">. Any language softer than "high end" would be a negative surprise; the base case is another clean reaffirmation.</w:t>
      </w:r>
    </w:p>
    <w:p>
      <w:pPr>
        <w:pStyle w:val="BodyText"/>
      </w:pPr>
      <w:r>
        <w:rPr>
          <w:b/>
          <w:bCs/>
        </w:rPr>
        <w:t xml:space="preserve">Q1 was already in the bag.</w:t>
      </w:r>
      <w:r>
        <w:t xml:space="preserve"> </w:t>
      </w:r>
      <w:r>
        <w:t xml:space="preserve">CMS reported</w:t>
      </w:r>
      <w:r>
        <w:t xml:space="preserve"> </w:t>
      </w:r>
      <w:r>
        <w:rPr>
          <w:b/>
          <w:bCs/>
        </w:rPr>
        <w:t xml:space="preserve">Q1 2026 adjusted EPS of $1.13</w:t>
      </w:r>
      <w:r>
        <w:t xml:space="preserve"> </w:t>
      </w:r>
      <w:r>
        <w:t xml:space="preserve">(GAAP $1.10), up from $1.02 a year ago, helped by NorthStar outperformance against an easy comp plus rate relief, partly offset by a sizable March ice storm.</w:t>
      </w:r>
    </w:p>
    <w:p>
      <w:pPr>
        <w:pStyle w:val="BodyText"/>
      </w:pPr>
      <w:r>
        <w:rPr>
          <w:b/>
          <w:bCs/>
        </w:rPr>
        <w:t xml:space="preserve">The Q2 comp is genuinely tough.</w:t>
      </w:r>
      <w:r>
        <w:t xml:space="preserve"> </w:t>
      </w:r>
      <w:r>
        <w:t xml:space="preserve">A year ago,</w:t>
      </w:r>
      <w:r>
        <w:t xml:space="preserve"> </w:t>
      </w:r>
      <w:r>
        <w:rPr>
          <w:b/>
          <w:bCs/>
        </w:rPr>
        <w:t xml:space="preserve">Q2 2025 adjusted EPS was $0.71</w:t>
      </w:r>
      <w:r>
        <w:t xml:space="preserve"> </w:t>
      </w:r>
      <w:r>
        <w:t xml:space="preserve">(GAAP $0.66), and first-half 2025 adjusted was</w:t>
      </w:r>
      <w:r>
        <w:t xml:space="preserve"> </w:t>
      </w:r>
      <m:oMath>
        <m:r>
          <m:t>1.73</m:t>
        </m:r>
        <m:r>
          <m:rPr>
            <m:sty m:val="p"/>
          </m:rPr>
          <m:t>—</m:t>
        </m:r>
        <m:r>
          <m:t>a</m:t>
        </m:r>
        <m:r>
          <m:t>q</m:t>
        </m:r>
        <m:r>
          <m:t>u</m:t>
        </m:r>
        <m:r>
          <m:t>a</m:t>
        </m:r>
        <m:r>
          <m:t>r</m:t>
        </m:r>
        <m:r>
          <m:t>t</m:t>
        </m:r>
        <m:r>
          <m:t>e</m:t>
        </m:r>
        <m:r>
          <m:t>r</m:t>
        </m:r>
        <m:r>
          <m:t>m</m:t>
        </m:r>
        <m:r>
          <m:t>a</m:t>
        </m:r>
        <m:r>
          <m:t>n</m:t>
        </m:r>
        <m:r>
          <m:t>a</m:t>
        </m:r>
        <m:r>
          <m:t>g</m:t>
        </m:r>
        <m:r>
          <m:t>e</m:t>
        </m:r>
        <m:r>
          <m:t>m</m:t>
        </m:r>
        <m:r>
          <m:t>e</m:t>
        </m:r>
        <m:r>
          <m:t>n</m:t>
        </m:r>
        <m:r>
          <m:t>t</m:t>
        </m:r>
        <m:r>
          <m:t>f</m:t>
        </m:r>
        <m:r>
          <m:t>l</m:t>
        </m:r>
        <m:r>
          <m:t>a</m:t>
        </m:r>
        <m:r>
          <m:t>g</m:t>
        </m:r>
        <m:r>
          <m:t>g</m:t>
        </m:r>
        <m:r>
          <m:t>e</m:t>
        </m:r>
        <m:r>
          <m:t>d</m:t>
        </m:r>
        <m:r>
          <m:t>a</m:t>
        </m:r>
        <m:r>
          <m:t>s</m:t>
        </m:r>
        <m:r>
          <m:rPr>
            <m:sty m:val="p"/>
          </m:rPr>
          <m:t>*</m:t>
        </m:r>
        <m:r>
          <m:t>w</m:t>
        </m:r>
        <m:r>
          <m:t>e</m:t>
        </m:r>
        <m:r>
          <m:t>a</m:t>
        </m:r>
        <m:r>
          <m:t>t</m:t>
        </m:r>
        <m:r>
          <m:t>h</m:t>
        </m:r>
        <m:r>
          <m:t>e</m:t>
        </m:r>
        <m:r>
          <m:t>r</m:t>
        </m:r>
        <m:r>
          <m:rPr>
            <m:sty m:val="p"/>
          </m:rPr>
          <m:t>−</m:t>
        </m:r>
        <m:r>
          <m:t>a</m:t>
        </m:r>
        <m:r>
          <m:t>i</m:t>
        </m:r>
        <m:r>
          <m:t>d</m:t>
        </m:r>
        <m:r>
          <m:t>e</m:t>
        </m:r>
        <m:r>
          <m:t>d</m:t>
        </m:r>
        <m:r>
          <m:rPr>
            <m:sty m:val="p"/>
          </m:rPr>
          <m:t>*</m:t>
        </m:r>
        <m:r>
          <m:rPr>
            <m:sty m:val="p"/>
          </m:rPr>
          <m:t>.</m:t>
        </m:r>
        <m:r>
          <m:t>O</m:t>
        </m:r>
        <m:r>
          <m:t>n</m:t>
        </m:r>
        <m:r>
          <m:t>t</m:t>
        </m:r>
        <m:r>
          <m:t>h</m:t>
        </m:r>
        <m:r>
          <m:t>e</m:t>
        </m:r>
        <m:r>
          <m:t>Q</m:t>
        </m:r>
        <m:r>
          <m:t>1</m:t>
        </m:r>
        <m:r>
          <m:t>c</m:t>
        </m:r>
        <m:r>
          <m:t>a</m:t>
        </m:r>
        <m:r>
          <m:t>l</m:t>
        </m:r>
        <m:r>
          <m:t>l</m:t>
        </m:r>
        <m:r>
          <m:rPr>
            <m:sty m:val="p"/>
          </m:rPr>
          <m:t>,</m:t>
        </m:r>
        <m:r>
          <m:t>C</m:t>
        </m:r>
        <m:r>
          <m:t>F</m:t>
        </m:r>
        <m:r>
          <m:t>O</m:t>
        </m:r>
        <m:r>
          <m:t>R</m:t>
        </m:r>
        <m:r>
          <m:t>e</m:t>
        </m:r>
        <m:r>
          <m:t>j</m:t>
        </m:r>
        <m:r>
          <m:t>j</m:t>
        </m:r>
        <m:r>
          <m:t>i</m:t>
        </m:r>
        <m:r>
          <m:t>H</m:t>
        </m:r>
        <m:r>
          <m:t>a</m:t>
        </m:r>
        <m:r>
          <m:t>y</m:t>
        </m:r>
        <m:r>
          <m:t>e</m:t>
        </m:r>
        <m:r>
          <m:t>s</m:t>
        </m:r>
        <m:r>
          <m:t>g</m:t>
        </m:r>
        <m:r>
          <m:t>u</m:t>
        </m:r>
        <m:r>
          <m:t>i</m:t>
        </m:r>
        <m:r>
          <m:t>d</m:t>
        </m:r>
        <m:r>
          <m:t>e</m:t>
        </m:r>
        <m:r>
          <m:t>d</m:t>
        </m:r>
        <m:r>
          <m:t>t</m:t>
        </m:r>
        <m:r>
          <m:t>o</m:t>
        </m:r>
        <m:r>
          <m:t>r</m:t>
        </m:r>
        <m:r>
          <m:t>o</m:t>
        </m:r>
        <m:r>
          <m:t>u</m:t>
        </m:r>
        <m:r>
          <m:t>g</m:t>
        </m:r>
        <m:r>
          <m:t>h</m:t>
        </m:r>
        <m:r>
          <m:t>l</m:t>
        </m:r>
        <m:r>
          <m:t>y</m:t>
        </m:r>
        <m:r>
          <m:rPr>
            <m:sty m:val="p"/>
          </m:rPr>
          <m:t>*</m:t>
        </m:r>
        <m:r>
          <m:rPr>
            <m:sty m:val="p"/>
          </m:rPr>
          <m:t>*</m:t>
        </m:r>
      </m:oMath>
      <w:r>
        <w:t xml:space="preserve">0.23/share of negative weather variance over the final nine months, "primarily in our electric business"** — i.e., the summer cooling season that lands in Q2/Q3. So don't be alarmed by a flattish or only-modestly-up Q2 adjusted number; the weather give-back is a planned, telegraphed headwind, offset over the year by ~</w:t>
      </w:r>
      <m:oMath>
        <m:r>
          <m:t>0.24</m:t>
        </m:r>
        <m:r>
          <m:t>o</m:t>
        </m:r>
        <m:r>
          <m:t>f</m:t>
        </m:r>
        <m:r>
          <m:t>p</m:t>
        </m:r>
        <m:r>
          <m:t>o</m:t>
        </m:r>
        <m:r>
          <m:t>s</m:t>
        </m:r>
        <m:r>
          <m:t>i</m:t>
        </m:r>
        <m:r>
          <m:t>t</m:t>
        </m:r>
        <m:r>
          <m:t>i</m:t>
        </m:r>
        <m:r>
          <m:t>v</m:t>
        </m:r>
        <m:r>
          <m:t>e</m:t>
        </m:r>
        <m:r>
          <m:t>r</m:t>
        </m:r>
        <m:r>
          <m:t>e</m:t>
        </m:r>
        <m:r>
          <m:t>g</m:t>
        </m:r>
        <m:r>
          <m:t>u</m:t>
        </m:r>
        <m:r>
          <m:t>l</m:t>
        </m:r>
        <m:r>
          <m:t>a</m:t>
        </m:r>
        <m:r>
          <m:t>t</m:t>
        </m:r>
        <m:r>
          <m:t>o</m:t>
        </m:r>
        <m:r>
          <m:t>r</m:t>
        </m:r>
        <m:r>
          <m:t>y</m:t>
        </m:r>
        <m:r>
          <m:t>v</m:t>
        </m:r>
        <m:r>
          <m:t>a</m:t>
        </m:r>
        <m:r>
          <m:t>r</m:t>
        </m:r>
        <m:r>
          <m:t>i</m:t>
        </m:r>
        <m:r>
          <m:t>a</m:t>
        </m:r>
        <m:r>
          <m:t>n</m:t>
        </m:r>
        <m:r>
          <m:t>c</m:t>
        </m:r>
        <m:r>
          <m:t>e</m:t>
        </m:r>
        <m:r>
          <m:rPr>
            <m:sty m:val="p"/>
          </m:rPr>
          <m:t>,</m:t>
        </m:r>
        <m:r>
          <m:t> </m:t>
        </m:r>
      </m:oMath>
      <w:r>
        <w:t xml:space="preserve">0.04 of O&amp;M savings, and</w:t>
      </w:r>
      <w:r>
        <w:t xml:space="preserve"> </w:t>
      </w:r>
      <m:oMath>
        <m:r>
          <m:t>0.06</m:t>
        </m:r>
        <m:r>
          <m:rPr>
            <m:sty m:val="p"/>
          </m:rPr>
          <m:t>–</m:t>
        </m:r>
      </m:oMath>
      <w:r>
        <w:t xml:space="preserve">0.13 from NorthStar/parent.</w:t>
      </w:r>
    </w:p>
    <w:p>
      <w:pPr>
        <w:pStyle w:val="BodyText"/>
      </w:pPr>
      <w:r>
        <w:rPr>
          <w:b/>
          <w:bCs/>
        </w:rPr>
        <w:t xml:space="preserve">Bottom line on EPS:</w:t>
      </w:r>
      <w:r>
        <w:t xml:space="preserve"> </w:t>
      </w:r>
      <w:r>
        <w:t xml:space="preserve">the quarterly figure matters less than the full-year reaffirmation. Watch the year-to-go waterfall bridge for confirmation that rate relief and cost control are still on pace to absorb the weather normalization.</w:t>
      </w:r>
    </w:p>
    <w:p>
      <w:r>
        <w:pict>
          <v:rect style="width:0;height:1.5pt" o:hralign="center" o:hrstd="t" o:hr="t"/>
        </w:pict>
      </w:r>
    </w:p>
    <w:bookmarkEnd w:id="11"/>
    <w:bookmarkStart w:id="12" w:name="the-real-catalysts--regulatory--growth"/>
    <w:p>
      <w:pPr>
        <w:pStyle w:val="Heading2"/>
      </w:pPr>
      <w:r>
        <w:t xml:space="preserve">The real catalysts — regulatory &amp; growth</w:t>
      </w:r>
    </w:p>
    <w:p>
      <w:pPr>
        <w:pStyle w:val="FirstParagraph"/>
      </w:pPr>
      <w:r>
        <w:rPr>
          <w:b/>
          <w:bCs/>
        </w:rPr>
        <w:t xml:space="preserve">1. Data centers — the swing factor.</w:t>
      </w:r>
      <w:r>
        <w:t xml:space="preserve"> </w:t>
      </w:r>
      <w:r>
        <w:t xml:space="preserve">This is what the buy-side wants. On the Q1 call, CEO Garrick Rochow said the lead hyperscaler had reached</w:t>
      </w:r>
      <w:r>
        <w:t xml:space="preserve"> </w:t>
      </w:r>
      <w:r>
        <w:rPr>
          <w:b/>
          <w:bCs/>
        </w:rPr>
        <w:t xml:space="preserve">commercial terms on both the extraordinary facilities agreement and the rate contract</w:t>
      </w:r>
      <w:r>
        <w:t xml:space="preserve">, with a second hyperscaler in advanced negotiations, and repeatedly pointed to the local</w:t>
      </w:r>
      <w:r>
        <w:t xml:space="preserve"> </w:t>
      </w:r>
      <w:r>
        <w:rPr>
          <w:b/>
          <w:bCs/>
        </w:rPr>
        <w:t xml:space="preserve">zoning process (Gaines Township)</w:t>
      </w:r>
      <w:r>
        <w:t xml:space="preserve"> </w:t>
      </w:r>
      <w:r>
        <w:t xml:space="preserve">as the remaining gate. He guided to a potential</w:t>
      </w:r>
      <w:r>
        <w:t xml:space="preserve"> </w:t>
      </w:r>
      <w:r>
        <w:rPr>
          <w:b/>
          <w:bCs/>
        </w:rPr>
        <w:t xml:space="preserve">~2028 first-electron / 2029–30 ramp</w:t>
      </w:r>
      <w:r>
        <w:t xml:space="preserve"> </w:t>
      </w:r>
      <w:r>
        <w:t xml:space="preserve">timeline. Watch for:</w:t>
      </w:r>
    </w:p>
    <w:p>
      <w:pPr>
        <w:pStyle w:val="Compact"/>
        <w:numPr>
          <w:ilvl w:val="0"/>
          <w:numId w:val="1001"/>
        </w:numPr>
      </w:pPr>
      <w:r>
        <w:t xml:space="preserve">Confirmation that a contract has been</w:t>
      </w:r>
      <w:r>
        <w:t xml:space="preserve"> </w:t>
      </w:r>
      <w:r>
        <w:rPr>
          <w:b/>
          <w:bCs/>
        </w:rPr>
        <w:t xml:space="preserve">signed</w:t>
      </w:r>
      <w:r>
        <w:t xml:space="preserve"> </w:t>
      </w:r>
      <w:r>
        <w:t xml:space="preserve">(last year's Q2 print was where CMS announced its first ~1 GW data-center agreement, so this quarter has an announcement precedent).</w:t>
      </w:r>
    </w:p>
    <w:p>
      <w:pPr>
        <w:pStyle w:val="Compact"/>
        <w:numPr>
          <w:ilvl w:val="0"/>
          <w:numId w:val="1001"/>
        </w:numPr>
      </w:pPr>
      <w:r>
        <w:t xml:space="preserve">Any update on Gaines Township zoning approval.</w:t>
      </w:r>
    </w:p>
    <w:p>
      <w:pPr>
        <w:pStyle w:val="Compact"/>
        <w:numPr>
          <w:ilvl w:val="0"/>
          <w:numId w:val="1001"/>
        </w:numPr>
      </w:pPr>
      <w:r>
        <w:t xml:space="preserve">Reminder of the framing: each</w:t>
      </w:r>
      <w:r>
        <w:t xml:space="preserve"> </w:t>
      </w:r>
      <w:r>
        <w:rPr>
          <w:b/>
          <w:bCs/>
        </w:rPr>
        <w:t xml:space="preserve">1 GW of new large load = $2–5B of incremental capex</w:t>
      </w:r>
      <w:r>
        <w:t xml:space="preserve"> </w:t>
      </w:r>
      <w:r>
        <w:t xml:space="preserve">(not in the current plan) and a</w:t>
      </w:r>
      <w:r>
        <w:t xml:space="preserve"> </w:t>
      </w:r>
      <w:r>
        <w:rPr>
          <w:b/>
          <w:bCs/>
        </w:rPr>
        <w:t xml:space="preserve">~2% annual reduction in average customer rates over five years</w:t>
      </w:r>
      <w:r>
        <w:t xml:space="preserve"> </w:t>
      </w:r>
      <w:r>
        <w:t xml:space="preserve">— the affordability-through-growth flywheel.</w:t>
      </w:r>
    </w:p>
    <w:p>
      <w:pPr>
        <w:pStyle w:val="FirstParagraph"/>
      </w:pPr>
      <w:r>
        <w:rPr>
          <w:b/>
          <w:bCs/>
        </w:rPr>
        <w:t xml:space="preserve">2. The June IRP filing.</w:t>
      </w:r>
      <w:r>
        <w:t xml:space="preserve"> </w:t>
      </w:r>
      <w:r>
        <w:t xml:space="preserve">CMS said it would file its 20-year Integrated Resource Plan in June, including</w:t>
      </w:r>
      <w:r>
        <w:t xml:space="preserve"> </w:t>
      </w:r>
      <w:r>
        <w:rPr>
          <w:b/>
          <w:bCs/>
        </w:rPr>
        <w:t xml:space="preserve">1.5 GW of new gas capacity</w:t>
      </w:r>
      <w:r>
        <w:t xml:space="preserve"> </w:t>
      </w:r>
      <w:r>
        <w:t xml:space="preserve">(to replace retiring Karn/peaking units),</w:t>
      </w:r>
      <w:r>
        <w:t xml:space="preserve"> </w:t>
      </w:r>
      <w:r>
        <w:rPr>
          <w:b/>
          <w:bCs/>
        </w:rPr>
        <w:t xml:space="preserve">13 GW of renewables/clean energy</w:t>
      </w:r>
      <w:r>
        <w:t xml:space="preserve"> </w:t>
      </w:r>
      <w:r>
        <w:t xml:space="preserve">(much already approved in the REP), and — critically — a</w:t>
      </w:r>
      <w:r>
        <w:t xml:space="preserve"> </w:t>
      </w:r>
      <w:r>
        <w:rPr>
          <w:b/>
          <w:bCs/>
        </w:rPr>
        <w:t xml:space="preserve">"growth scenario"</w:t>
      </w:r>
      <w:r>
        <w:t xml:space="preserve"> </w:t>
      </w:r>
      <w:r>
        <w:t xml:space="preserve">sizing incremental capacity for data-center/manufacturing load. Expect management to walk through how this filing frames capex upside beyond the current $24B / 5-year plan.</w:t>
      </w:r>
    </w:p>
    <w:p>
      <w:pPr>
        <w:pStyle w:val="BodyText"/>
      </w:pPr>
      <w:r>
        <w:rPr>
          <w:b/>
          <w:bCs/>
        </w:rPr>
        <w:t xml:space="preserve">3. Rate cases — the recurring earnings engine.</w:t>
      </w:r>
    </w:p>
    <w:p>
      <w:pPr>
        <w:pStyle w:val="Compact"/>
        <w:numPr>
          <w:ilvl w:val="0"/>
          <w:numId w:val="1002"/>
        </w:numPr>
      </w:pPr>
      <w:r>
        <w:rPr>
          <w:b/>
          <w:bCs/>
        </w:rPr>
        <w:t xml:space="preserve">Electric:</w:t>
      </w:r>
      <w:r>
        <w:t xml:space="preserve"> </w:t>
      </w:r>
      <w:r>
        <w:t xml:space="preserve">a new electric rate case was slated to be</w:t>
      </w:r>
      <w:r>
        <w:t xml:space="preserve"> </w:t>
      </w:r>
      <w:r>
        <w:rPr>
          <w:b/>
          <w:bCs/>
        </w:rPr>
        <w:t xml:space="preserve">filed in June</w:t>
      </w:r>
      <w:r>
        <w:t xml:space="preserve">. Look for the ask size and how it stacks against the last case, where the commission approved</w:t>
      </w:r>
      <w:r>
        <w:t xml:space="preserve"> </w:t>
      </w:r>
      <w:r>
        <w:rPr>
          <w:b/>
          <w:bCs/>
        </w:rPr>
        <w:t xml:space="preserve">&gt;65% of the request and held the 9.9% ROE</w:t>
      </w:r>
      <w:r>
        <w:t xml:space="preserve">.</w:t>
      </w:r>
    </w:p>
    <w:p>
      <w:pPr>
        <w:pStyle w:val="Compact"/>
        <w:numPr>
          <w:ilvl w:val="0"/>
          <w:numId w:val="1002"/>
        </w:numPr>
      </w:pPr>
      <w:r>
        <w:rPr>
          <w:b/>
          <w:bCs/>
        </w:rPr>
        <w:t xml:space="preserve">Gas:</w:t>
      </w:r>
      <w:r>
        <w:t xml:space="preserve"> </w:t>
      </w:r>
      <w:r>
        <w:t xml:space="preserve">on the ~</w:t>
      </w:r>
      <w:r>
        <w:rPr>
          <w:b/>
          <w:bCs/>
        </w:rPr>
        <w:t xml:space="preserve">$240M</w:t>
      </w:r>
      <w:r>
        <w:t xml:space="preserve"> </w:t>
      </w:r>
      <w:r>
        <w:t xml:space="preserve">ask, MPSC Staff recommended</w:t>
      </w:r>
      <w:r>
        <w:t xml:space="preserve"> </w:t>
      </w:r>
      <w:r>
        <w:rPr>
          <w:b/>
          <w:bCs/>
        </w:rPr>
        <w:t xml:space="preserve">&gt;75%</w:t>
      </w:r>
      <w:r>
        <w:t xml:space="preserve"> </w:t>
      </w:r>
      <w:r>
        <w:t xml:space="preserve">and backed **~95% of gas infrastructure investment**. The</w:t>
      </w:r>
      <w:r>
        <w:t xml:space="preserve"> </w:t>
      </w:r>
      <w:r>
        <w:rPr>
          <w:b/>
          <w:bCs/>
        </w:rPr>
        <w:t xml:space="preserve">PFD is due around August</w:t>
      </w:r>
      <w:r>
        <w:t xml:space="preserve"> </w:t>
      </w:r>
      <w:r>
        <w:t xml:space="preserve">with a</w:t>
      </w:r>
      <w:r>
        <w:t xml:space="preserve"> </w:t>
      </w:r>
      <w:r>
        <w:rPr>
          <w:b/>
          <w:bCs/>
        </w:rPr>
        <w:t xml:space="preserve">final order in Sept/Oct</w:t>
      </w:r>
      <w:r>
        <w:t xml:space="preserve"> </w:t>
      </w:r>
      <w:r>
        <w:t xml:space="preserve">— so expect a progress update, not a resolution, this quarter. CMS has settled 4 of its last 5 gas cases.</w:t>
      </w:r>
    </w:p>
    <w:p>
      <w:pPr>
        <w:pStyle w:val="FirstParagraph"/>
      </w:pPr>
      <w:r>
        <w:rPr>
          <w:b/>
          <w:bCs/>
        </w:rPr>
        <w:t xml:space="preserve">4. Load growth confirmation.</w:t>
      </w:r>
      <w:r>
        <w:t xml:space="preserve"> </w:t>
      </w:r>
      <w:r>
        <w:t xml:space="preserve">CMS reaffirmed</w:t>
      </w:r>
      <w:r>
        <w:t xml:space="preserve"> </w:t>
      </w:r>
      <w:r>
        <w:rPr>
          <w:b/>
          <w:bCs/>
        </w:rPr>
        <w:t xml:space="preserve">2–3% annual sales growth</w:t>
      </w:r>
      <w:r>
        <w:t xml:space="preserve"> </w:t>
      </w:r>
      <w:r>
        <w:t xml:space="preserve">and noted</w:t>
      </w:r>
      <w:r>
        <w:t xml:space="preserve"> </w:t>
      </w:r>
      <w:r>
        <w:rPr>
          <w:b/>
          <w:bCs/>
        </w:rPr>
        <w:t xml:space="preserve">~110 MW of signed contracts YTD through Q1</w:t>
      </w:r>
      <w:r>
        <w:t xml:space="preserve"> </w:t>
      </w:r>
      <w:r>
        <w:t xml:space="preserve">(already above the ~100 MW signed in all of 2025), plus the Michigan Potash win (~$1.3B investment, ~130 jobs). Watch for the updated signed-contract tally and any nudge toward the high end of the 2–3% range.</w:t>
      </w:r>
    </w:p>
    <w:p>
      <w:r>
        <w:pict>
          <v:rect style="width:0;height:1.5pt" o:hralign="center" o:hrstd="t" o:hr="t"/>
        </w:pict>
      </w:r>
    </w:p>
    <w:bookmarkEnd w:id="12"/>
    <w:bookmarkStart w:id="13" w:name="X71ffadb4f813be28de4deb46300197f8cba0b30"/>
    <w:p>
      <w:pPr>
        <w:pStyle w:val="Heading2"/>
      </w:pPr>
      <w:r>
        <w:t xml:space="preserve">Balance sheet &amp; financing — the underappreciated risk</w:t>
      </w:r>
    </w:p>
    <w:p>
      <w:pPr>
        <w:pStyle w:val="FirstParagraph"/>
      </w:pPr>
      <w:r>
        <w:rPr>
          <w:b/>
          <w:bCs/>
        </w:rPr>
        <w:t xml:space="preserve">Moody's negative outlook.</w:t>
      </w:r>
      <w:r>
        <w:t xml:space="preserve"> </w:t>
      </w:r>
      <w:r>
        <w:t xml:space="preserve">Both Moody's and Fitch reaffirmed ratings in March, but</w:t>
      </w:r>
      <w:r>
        <w:t xml:space="preserve"> </w:t>
      </w:r>
      <w:r>
        <w:rPr>
          <w:b/>
          <w:bCs/>
        </w:rPr>
        <w:t xml:space="preserve">Moody's moved the utility (OpCo) to negative outlook</w:t>
      </w:r>
      <w:r>
        <w:t xml:space="preserve">, citing the size of the 5-year plan versus the timing of cost recovery on long-cycle projects. Hayes said CMS is evaluating</w:t>
      </w:r>
      <w:r>
        <w:t xml:space="preserve"> </w:t>
      </w:r>
      <w:r>
        <w:rPr>
          <w:b/>
          <w:bCs/>
        </w:rPr>
        <w:t xml:space="preserve">"countermeasures"</w:t>
      </w:r>
      <w:r>
        <w:t xml:space="preserve"> </w:t>
      </w:r>
      <w:r>
        <w:t xml:space="preserve">over the next 12–18 months — likely involving the rate-making capital structure and cost of capital, and requiring commission education.</w:t>
      </w:r>
      <w:r>
        <w:t xml:space="preserve"> </w:t>
      </w:r>
      <w:r>
        <w:rPr>
          <w:b/>
          <w:bCs/>
        </w:rPr>
        <w:t xml:space="preserve">Any specifics here would be new information</w:t>
      </w:r>
      <w:r>
        <w:t xml:space="preserve"> </w:t>
      </w:r>
      <w:r>
        <w:t xml:space="preserve">and are worth listening for.</w:t>
      </w:r>
    </w:p>
    <w:p>
      <w:pPr>
        <w:pStyle w:val="BodyText"/>
      </w:pPr>
      <w:r>
        <w:rPr>
          <w:b/>
          <w:bCs/>
        </w:rPr>
        <w:t xml:space="preserve">Equity / ATM.</w:t>
      </w:r>
      <w:r>
        <w:t xml:space="preserve"> </w:t>
      </w:r>
      <w:r>
        <w:t xml:space="preserve">The plan is **~</w:t>
      </w:r>
      <m:oMath>
        <m:r>
          <m:t>700</m:t>
        </m:r>
        <m:r>
          <m:t>M</m:t>
        </m:r>
        <m:r>
          <m:t>o</m:t>
        </m:r>
        <m:r>
          <m:t>f</m:t>
        </m:r>
        <m:r>
          <m:t>e</m:t>
        </m:r>
        <m:r>
          <m:t>q</m:t>
        </m:r>
        <m:r>
          <m:t>u</m:t>
        </m:r>
        <m:r>
          <m:t>i</m:t>
        </m:r>
        <m:r>
          <m:t>t</m:t>
        </m:r>
        <m:r>
          <m:t>y</m:t>
        </m:r>
        <m:r>
          <m:t>i</m:t>
        </m:r>
        <m:r>
          <m:t>n</m:t>
        </m:r>
        <m:r>
          <m:t>2026</m:t>
        </m:r>
        <m:r>
          <m:rPr>
            <m:sty m:val="p"/>
          </m:rPr>
          <m:t>*</m:t>
        </m:r>
        <m:r>
          <m:rPr>
            <m:sty m:val="p"/>
          </m:rPr>
          <m:t>*</m:t>
        </m:r>
        <m:r>
          <m:rPr>
            <m:sty m:val="p"/>
          </m:rPr>
          <m:t>,</m:t>
        </m:r>
        <m:r>
          <m:t>f</m:t>
        </m:r>
        <m:r>
          <m:t>r</m:t>
        </m:r>
        <m:r>
          <m:t>o</m:t>
        </m:r>
        <m:r>
          <m:t>n</m:t>
        </m:r>
        <m:r>
          <m:t>t</m:t>
        </m:r>
        <m:r>
          <m:rPr>
            <m:sty m:val="p"/>
          </m:rPr>
          <m:t>−</m:t>
        </m:r>
        <m:r>
          <m:t>e</m:t>
        </m:r>
        <m:r>
          <m:t>n</m:t>
        </m:r>
        <m:r>
          <m:t>d</m:t>
        </m:r>
        <m:r>
          <m:rPr>
            <m:sty m:val="p"/>
          </m:rPr>
          <m:t>−</m:t>
        </m:r>
        <m:r>
          <m:t>l</m:t>
        </m:r>
        <m:r>
          <m:t>o</m:t>
        </m:r>
        <m:r>
          <m:t>a</m:t>
        </m:r>
        <m:r>
          <m:t>d</m:t>
        </m:r>
        <m:r>
          <m:t>e</m:t>
        </m:r>
        <m:r>
          <m:t>d</m:t>
        </m:r>
        <m:r>
          <m:rPr>
            <m:sty m:val="p"/>
          </m:rPr>
          <m:t>,</m:t>
        </m:r>
        <m:r>
          <m:t>t</m:t>
        </m:r>
        <m:r>
          <m:t>h</m:t>
        </m:r>
        <m:r>
          <m:t>e</m:t>
        </m:r>
        <m:r>
          <m:t>n</m:t>
        </m:r>
        <m:r>
          <m:t> </m:t>
        </m:r>
      </m:oMath>
      <w:r>
        <w:t xml:space="preserve">750M/yr on average thereafter. CMS opportunistically priced **~</w:t>
      </w:r>
      <m:oMath>
        <m:r>
          <m:t>495</m:t>
        </m:r>
        <m:r>
          <m:t>M</m:t>
        </m:r>
        <m:r>
          <m:t>o</m:t>
        </m:r>
        <m:r>
          <m:t>f</m:t>
        </m:r>
        <m:r>
          <m:t>e</m:t>
        </m:r>
        <m:r>
          <m:t>q</m:t>
        </m:r>
        <m:r>
          <m:t>u</m:t>
        </m:r>
        <m:r>
          <m:t>i</m:t>
        </m:r>
        <m:r>
          <m:t>t</m:t>
        </m:r>
        <m:r>
          <m:t>y</m:t>
        </m:r>
        <m:r>
          <m:t>f</m:t>
        </m:r>
        <m:r>
          <m:t>o</m:t>
        </m:r>
        <m:r>
          <m:t>r</m:t>
        </m:r>
        <m:r>
          <m:t>w</m:t>
        </m:r>
        <m:r>
          <m:t>a</m:t>
        </m:r>
        <m:r>
          <m:t>r</m:t>
        </m:r>
        <m:r>
          <m:t>d</m:t>
        </m:r>
        <m:r>
          <m:t>s</m:t>
        </m:r>
        <m:r>
          <m:t>i</m:t>
        </m:r>
        <m:r>
          <m:t>n</m:t>
        </m:r>
        <m:r>
          <m:t>Q</m:t>
        </m:r>
        <m:r>
          <m:t>1</m:t>
        </m:r>
        <m:r>
          <m:rPr>
            <m:sty m:val="p"/>
          </m:rPr>
          <m:t>*</m:t>
        </m:r>
        <m:r>
          <m:rPr>
            <m:sty m:val="p"/>
          </m:rPr>
          <m:t>*</m:t>
        </m:r>
        <m:r>
          <m:rPr>
            <m:sty m:val="p"/>
          </m:rPr>
          <m:t>(</m:t>
        </m:r>
        <m:r>
          <m:t>s</m:t>
        </m:r>
        <m:r>
          <m:t>e</m:t>
        </m:r>
        <m:r>
          <m:t>t</m:t>
        </m:r>
        <m:r>
          <m:t>t</m:t>
        </m:r>
        <m:r>
          <m:t>l</m:t>
        </m:r>
        <m:r>
          <m:t>i</m:t>
        </m:r>
        <m:r>
          <m:t>n</m:t>
        </m:r>
        <m:r>
          <m:t>g</m:t>
        </m:r>
        <m:r>
          <m:t> </m:t>
        </m:r>
      </m:oMath>
      <w:r>
        <w:t xml:space="preserve">142M) and in</w:t>
      </w:r>
      <w:r>
        <w:t xml:space="preserve"> </w:t>
      </w:r>
      <w:r>
        <w:rPr>
          <w:b/>
          <w:bCs/>
        </w:rPr>
        <w:t xml:space="preserve">May launched a fresh $3B at-the-market program</w:t>
      </w:r>
      <w:r>
        <w:t xml:space="preserve"> </w:t>
      </w:r>
      <w:r>
        <w:t xml:space="preserve">with a large forward-sale syndicate. Watch for: how much of 2026 equity is now de-risked, and whether management is pulling forward</w:t>
      </w:r>
      <w:r>
        <w:t xml:space="preserve"> </w:t>
      </w:r>
      <w:r>
        <w:rPr>
          <w:b/>
          <w:bCs/>
        </w:rPr>
        <w:t xml:space="preserve">2027–28</w:t>
      </w:r>
      <w:r>
        <w:t xml:space="preserve"> </w:t>
      </w:r>
      <w:r>
        <w:t xml:space="preserve">issuance via forwards. Equity dilution (share count up to ~307M diluted from ~299M) is a modest ongoing EPS drag baked into guidance.</w:t>
      </w:r>
    </w:p>
    <w:p>
      <w:pPr>
        <w:pStyle w:val="BodyText"/>
      </w:pPr>
      <w:r>
        <w:rPr>
          <w:b/>
          <w:bCs/>
        </w:rPr>
        <w:t xml:space="preserve">NorthStar.</w:t>
      </w:r>
      <w:r>
        <w:t xml:space="preserve"> </w:t>
      </w:r>
      <w:r>
        <w:t xml:space="preserve">Media speculation about a NorthStar transaction persists; management repeated its</w:t>
      </w:r>
      <w:r>
        <w:t xml:space="preserve"> </w:t>
      </w:r>
      <w:r>
        <w:rPr>
          <w:b/>
          <w:bCs/>
        </w:rPr>
        <w:t xml:space="preserve">"no comment on M&amp;A"</w:t>
      </w:r>
      <w:r>
        <w:t xml:space="preserve"> </w:t>
      </w:r>
      <w:r>
        <w:t xml:space="preserve">policy while reiterating the segment is ~</w:t>
      </w:r>
      <w:r>
        <w:rPr>
          <w:b/>
          <w:bCs/>
        </w:rPr>
        <w:t xml:space="preserve">5% of the earnings mix</w:t>
      </w:r>
      <w:r>
        <w:t xml:space="preserve">, with DIG benefiting from rising capacity/energy prices and contracted renewables. Any strategic signal (or firm denial) would move the stock — but don't expect one.</w:t>
      </w:r>
    </w:p>
    <w:p>
      <w:r>
        <w:pict>
          <v:rect style="width:0;height:1.5pt" o:hralign="center" o:hrstd="t" o:hr="t"/>
        </w:pict>
      </w:r>
    </w:p>
    <w:bookmarkEnd w:id="13"/>
    <w:bookmarkStart w:id="14" w:name="stock--positioning-context"/>
    <w:p>
      <w:pPr>
        <w:pStyle w:val="Heading2"/>
      </w:pPr>
      <w:r>
        <w:t xml:space="preserve">Stock &amp; positioning context</w:t>
      </w:r>
    </w:p>
    <w:p>
      <w:pPr>
        <w:pStyle w:val="FirstParagraph"/>
      </w:pPr>
      <w:r>
        <w:t xml:space="preserve">CMS entered 2026 near</w:t>
      </w:r>
      <w:r>
        <w:t xml:space="preserve"> </w:t>
      </w:r>
      <m:oMath>
        <m:r>
          <m:t>70</m:t>
        </m:r>
        <m:r>
          <m:rPr>
            <m:sty m:val="p"/>
          </m:rPr>
          <m:t>*</m:t>
        </m:r>
        <m:r>
          <m:rPr>
            <m:sty m:val="p"/>
          </m:rPr>
          <m:t>*</m:t>
        </m:r>
        <m:r>
          <m:rPr>
            <m:sty m:val="p"/>
          </m:rPr>
          <m:t>,</m:t>
        </m:r>
        <m:r>
          <m:t>r</m:t>
        </m:r>
        <m:r>
          <m:t>a</m:t>
        </m:r>
        <m:r>
          <m:t>n</m:t>
        </m:r>
        <m:r>
          <m:t>t</m:t>
        </m:r>
        <m:r>
          <m:t>o</m:t>
        </m:r>
        <m:r>
          <m:t>a</m:t>
        </m:r>
        <m:r>
          <m:rPr>
            <m:sty m:val="p"/>
          </m:rPr>
          <m:t>*</m:t>
        </m:r>
        <m:r>
          <m:rPr>
            <m:sty m:val="p"/>
          </m:rPr>
          <m:t>*</m:t>
        </m:r>
        <m:r>
          <m:t> </m:t>
        </m:r>
      </m:oMath>
      <w:r>
        <w:rPr>
          <w:b/>
          <w:bCs/>
        </w:rPr>
        <w:t xml:space="preserve">80 peak in early-to-mid April</w:t>
      </w:r>
      <w:r>
        <w:t xml:space="preserve">, and has since drifted back to about</w:t>
      </w:r>
      <w:r>
        <w:t xml:space="preserve"> </w:t>
      </w:r>
      <w:r>
        <w:rPr>
          <w:b/>
          <w:bCs/>
        </w:rPr>
        <w:t xml:space="preserve">$74 (July 27)</w:t>
      </w:r>
      <w:r>
        <w:t xml:space="preserve"> </w:t>
      </w:r>
      <w:r>
        <w:t xml:space="preserve">— roughly</w:t>
      </w:r>
      <w:r>
        <w:t xml:space="preserve"> </w:t>
      </w:r>
      <w:r>
        <w:rPr>
          <w:b/>
          <w:bCs/>
        </w:rPr>
        <w:t xml:space="preserve">+5% YTD</w:t>
      </w:r>
      <w:r>
        <w:t xml:space="preserve">, broadly in line with the XLU utility ETF, and down ~7% from its spring high. The pullback into the print takes some of the "priced-for-perfection" risk off the table. With a defensive, high-quality reg-utility premium already embedded, the risk/reward hinges less on Q2 EPS and more on</w:t>
      </w:r>
      <w:r>
        <w:t xml:space="preserve"> </w:t>
      </w:r>
      <w:r>
        <w:rPr>
          <w:b/>
          <w:bCs/>
        </w:rPr>
        <w:t xml:space="preserve">data-center conversion and the IRP/rate-case cadence</w:t>
      </w:r>
      <w:r>
        <w:t xml:space="preserve"> </w:t>
      </w:r>
      <w:r>
        <w:t xml:space="preserve">delivering the next leg of capex and load-growth upside.</w:t>
      </w:r>
    </w:p>
    <w:p>
      <w:r>
        <w:pict>
          <v:rect style="width:0;height:1.5pt" o:hralign="center" o:hrstd="t" o:hr="t"/>
        </w:pict>
      </w:r>
    </w:p>
    <w:bookmarkEnd w:id="14"/>
    <w:bookmarkStart w:id="15" w:name="bull-vs-bear-into-the-print"/>
    <w:p>
      <w:pPr>
        <w:pStyle w:val="Heading2"/>
      </w:pPr>
      <w:r>
        <w:t xml:space="preserve">Bull vs. bear into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p>
        </w:tc>
        <w:tc>
          <w:tcPr/>
          <w:p>
            <w:pPr>
              <w:pStyle w:val="Compact"/>
            </w:pPr>
          </w:p>
        </w:tc>
      </w:tr>
      <w:tr>
        <w:tc>
          <w:tcPr/>
          <w:p>
            <w:pPr>
              <w:pStyle w:val="Compact"/>
            </w:pPr>
            <w:r>
              <w:rPr>
                <w:b/>
                <w:bCs/>
              </w:rPr>
              <w:t xml:space="preserve">Bull case</w:t>
            </w:r>
          </w:p>
        </w:tc>
        <w:tc>
          <w:tcPr/>
          <w:p>
            <w:pPr>
              <w:pStyle w:val="Compact"/>
            </w:pPr>
            <w:r>
              <w:t xml:space="preserve">High-end guidance reaffirmed; a signed hyperscaler contract + IRP growth scenario crystallize multi-$B capex upside not yet in the plan; constructive gas-case trajectory; 23-year track record of delivering regardless of weather/politics.</w:t>
            </w:r>
          </w:p>
        </w:tc>
      </w:tr>
      <w:tr>
        <w:tc>
          <w:tcPr/>
          <w:p>
            <w:pPr>
              <w:pStyle w:val="Compact"/>
            </w:pPr>
            <w:r>
              <w:rPr>
                <w:b/>
                <w:bCs/>
              </w:rPr>
              <w:t xml:space="preserve">Bear case</w:t>
            </w:r>
          </w:p>
        </w:tc>
        <w:tc>
          <w:tcPr/>
          <w:p>
            <w:pPr>
              <w:pStyle w:val="Compact"/>
            </w:pPr>
            <w:r>
              <w:t xml:space="preserve">Tough weather comp pressures the Q2 optics; Moody's OpCo negative outlook forces balance-sheet countermeasures; heavy front-loaded equity dilution; data-center contract slips again on zoning; Michigan is a "purple state" in an election year with budget/affordability noise.</w:t>
            </w:r>
          </w:p>
        </w:tc>
      </w:tr>
    </w:tbl>
    <w:p>
      <w:r>
        <w:pict>
          <v:rect style="width:0;height:1.5pt" o:hralign="center" o:hrstd="t" o:hr="t"/>
        </w:pict>
      </w:r>
    </w:p>
    <w:bookmarkEnd w:id="15"/>
    <w:bookmarkStart w:id="16" w:name="bottom-line"/>
    <w:p>
      <w:pPr>
        <w:pStyle w:val="Heading2"/>
      </w:pPr>
      <w:r>
        <w:t xml:space="preserve">Bottom line</w:t>
      </w:r>
    </w:p>
    <w:p>
      <w:pPr>
        <w:pStyle w:val="FirstParagraph"/>
      </w:pPr>
      <w:r>
        <w:t xml:space="preserve">The base case is a</w:t>
      </w:r>
      <w:r>
        <w:t xml:space="preserve"> </w:t>
      </w:r>
      <w:r>
        <w:rPr>
          <w:b/>
          <w:bCs/>
        </w:rPr>
        <w:t xml:space="preserve">routine beat-and-reaffirm</w:t>
      </w:r>
      <w:r>
        <w:t xml:space="preserve"> </w:t>
      </w:r>
      <w:r>
        <w:t xml:space="preserve">with the summer weather give-back landing as pre-announced. The</w:t>
      </w:r>
      <w:r>
        <w:t xml:space="preserve"> </w:t>
      </w:r>
      <w:r>
        <w:rPr>
          <w:b/>
          <w:bCs/>
        </w:rPr>
        <w:t xml:space="preserve">signal to trade on</w:t>
      </w:r>
      <w:r>
        <w:t xml:space="preserve"> </w:t>
      </w:r>
      <w:r>
        <w:t xml:space="preserve">is qualitative: (1) is the hyperscaler contract</w:t>
      </w:r>
      <w:r>
        <w:t xml:space="preserve"> </w:t>
      </w:r>
      <w:r>
        <w:rPr>
          <w:b/>
          <w:bCs/>
        </w:rPr>
        <w:t xml:space="preserve">signed</w:t>
      </w:r>
      <w:r>
        <w:t xml:space="preserve">, (2) what does the</w:t>
      </w:r>
      <w:r>
        <w:t xml:space="preserve"> </w:t>
      </w:r>
      <w:r>
        <w:rPr>
          <w:b/>
          <w:bCs/>
        </w:rPr>
        <w:t xml:space="preserve">June IRP growth scenario</w:t>
      </w:r>
      <w:r>
        <w:t xml:space="preserve"> </w:t>
      </w:r>
      <w:r>
        <w:t xml:space="preserve">imply for capex, (3) size/terms of the</w:t>
      </w:r>
      <w:r>
        <w:t xml:space="preserve"> </w:t>
      </w:r>
      <w:r>
        <w:rPr>
          <w:b/>
          <w:bCs/>
        </w:rPr>
        <w:t xml:space="preserve">new electric case</w:t>
      </w:r>
      <w:r>
        <w:t xml:space="preserve">, and (4) any concrete</w:t>
      </w:r>
      <w:r>
        <w:t xml:space="preserve"> </w:t>
      </w:r>
      <w:r>
        <w:rPr>
          <w:b/>
          <w:bCs/>
        </w:rPr>
        <w:t xml:space="preserve">Moody's countermeasure</w:t>
      </w:r>
      <w:r>
        <w:t xml:space="preserve"> </w:t>
      </w:r>
      <w:r>
        <w:t xml:space="preserve">and</w:t>
      </w:r>
      <w:r>
        <w:t xml:space="preserve"> </w:t>
      </w:r>
      <w:r>
        <w:rPr>
          <w:b/>
          <w:bCs/>
        </w:rPr>
        <w:t xml:space="preserve">equity de-risking</w:t>
      </w:r>
      <w:r>
        <w:t xml:space="preserve">. Those items — not the Q2 EPS decimal — will define whether the stock re-rates off its recent pullback.</w:t>
      </w:r>
    </w:p>
    <w:p>
      <w:pPr>
        <w:pStyle w:val="BodyText"/>
      </w:pPr>
      <w:r>
        <w:rPr>
          <w:i/>
          <w:iCs/>
        </w:rPr>
        <w:t xml:space="preserve">Note: I was unable to retrieve current sell-side consensus or news from the days immediately before the report through the tools available, so the EPS framing above is built from CMS's own guidance, the Q1 2026 waterfall, and the year-ago Q2 comparison rather than a published Street estimate.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2026-07-28T00:49:01Z</dcterms:created>
  <dcterms:modified xsi:type="dcterms:W3CDTF">2026-07-28T00:49:01Z</dcterms:modified>
</cp:coreProperties>
</file>

<file path=docProps/custom.xml><?xml version="1.0" encoding="utf-8"?>
<Properties xmlns="http://schemas.openxmlformats.org/officeDocument/2006/custom-properties" xmlns:vt="http://schemas.openxmlformats.org/officeDocument/2006/docPropsVTypes"/>
</file>