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s-earnings-predictions--2026-07-28"/>
    <w:p>
      <w:pPr>
        <w:pStyle w:val="Heading1"/>
      </w:pPr>
      <w:r>
        <w:t xml:space="preserve">CMS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~$0.38 vs. cons $0.72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~$1.92B vs. cons $1.89B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Qualified economic-development pipeline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~9.0 GW vs. cons 9.0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~$3.865 vs. cons $3.87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adjusted EPS growth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 vs. cons 8.0% (2027–2030, toward high end of 6%–8%)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Incremental July storm EPS drag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~$0.08 drag vs. cons $0.05 drag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Planned common-equity issuance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~$700M vs. cons $700M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Initial advanced data-center load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~2028 vs. cons 2028 (initial-load year)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-2.7% (FOLLOW-THROUGH)</w:t>
            </w:r>
          </w:p>
        </w:tc>
        <w:tc>
          <w:tcPr/>
          <w:p>
            <w:pPr>
              <w:pStyle w:val="Compact"/>
            </w:pPr>
            <w:r>
              <w:t xml:space="preserve">The headline EPS miss should be partly dismissed because storm-aware expectations are near</w:t>
            </w:r>
            <w:r>
              <w:t xml:space="preserve"> </w:t>
            </w:r>
            <m:oMath>
              <m:r>
                <m:t>0.35</m:t>
              </m:r>
              <m:r>
                <m:rPr>
                  <m:sty m:val="p"/>
                </m:rPr>
                <m:t>–</m:t>
              </m:r>
            </m:oMath>
            <w:r>
              <w:t xml:space="preserve">0.36, but an estimated ~</w:t>
            </w:r>
            <m:oMath>
              <m:r>
                <m:t>0.08</m:t>
              </m:r>
              <m:r>
                <m:t>J</m:t>
              </m:r>
              <m:r>
                <m:t>u</m:t>
              </m:r>
              <m:r>
                <m:t>l</m:t>
              </m:r>
              <m:r>
                <m:t>y</m:t>
              </m:r>
              <m:r>
                <m:t>s</m:t>
              </m:r>
              <m:r>
                <m:t>t</m:t>
              </m:r>
              <m:r>
                <m:t>o</m:t>
              </m:r>
              <m:r>
                <m:t>r</m:t>
              </m:r>
              <m:r>
                <m:t>m</m:t>
              </m:r>
              <m:r>
                <m:t>d</m:t>
              </m:r>
              <m:r>
                <m:t>r</m:t>
              </m:r>
              <m:r>
                <m:t>a</m:t>
              </m:r>
              <m:r>
                <m:t>g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0.05 expected and a $3.865 guidance midpoint versus $3.87 consensus should pull FY2026 estimates modestly lower; absent a signed data-center catalyst, revisions likely extend the initial weakness.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2026-07-28T00:48:16Z</dcterms:created>
  <dcterms:modified xsi:type="dcterms:W3CDTF">2026-07-28T00:48:16Z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