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cms-energy-q2-2026-earnings-preview"/>
    <w:p>
      <w:pPr>
        <w:pStyle w:val="Heading1"/>
      </w:pPr>
      <w:r>
        <w:t xml:space="preserve">CMS Energy Q2 2026 Earnings Preview</w:t>
      </w:r>
    </w:p>
    <w:p>
      <w:pPr>
        <w:pStyle w:val="BlockText"/>
      </w:pPr>
      <w:r>
        <w:rPr>
          <w:b/>
          <w:bCs/>
        </w:rPr>
        <w:t xml:space="preserve">Timing note:</w:t>
      </w:r>
      <w:r>
        <w:t xml:space="preserve"> </w:t>
      </w:r>
      <w:r>
        <w:t xml:space="preserve">CMS Energy’s Q2 earnings call is scheduled for</w:t>
      </w:r>
      <w:r>
        <w:t xml:space="preserve"> </w:t>
      </w:r>
      <w:r>
        <w:rPr>
          <w:b/>
          <w:bCs/>
        </w:rPr>
        <w:t xml:space="preserve">today, Tuesday, July 28, 2026, at 10:00 a.m. ET</w:t>
      </w:r>
      <w:r>
        <w:t xml:space="preserve">—not tomorrow. (</w:t>
      </w:r>
      <w:hyperlink r:id="rId9">
        <w:r>
          <w:rPr>
            <w:rStyle w:val="Hyperlink"/>
          </w:rPr>
          <w:t xml:space="preserve">cmsenergy.com</w:t>
        </w:r>
      </w:hyperlink>
      <w:r>
        <w:t xml:space="preserve">)</w:t>
      </w:r>
    </w:p>
    <w:bookmarkStart w:id="10" w:name="executive-summary"/>
    <w:p>
      <w:pPr>
        <w:pStyle w:val="Heading2"/>
      </w:pPr>
      <w:r>
        <w:t xml:space="preserve">Executive summary</w:t>
      </w:r>
    </w:p>
    <w:p>
      <w:pPr>
        <w:pStyle w:val="FirstParagraph"/>
      </w:pPr>
      <w:r>
        <w:t xml:space="preserve">The quarterly EPS number may be unusually noisy because of weather, storm-restoration costs and a difficult comparison with favorable weather last year. The more important questions are whether CMS:</w:t>
      </w:r>
    </w:p>
    <w:p>
      <w:pPr>
        <w:pStyle w:val="Compact"/>
        <w:numPr>
          <w:ilvl w:val="0"/>
          <w:numId w:val="1001"/>
        </w:numPr>
      </w:pPr>
      <w:r>
        <w:t xml:space="preserve">Maintains its</w:t>
      </w:r>
      <w:r>
        <w:t xml:space="preserve"> </w:t>
      </w:r>
      <m:oMath>
        <m:r>
          <m:t>3.83</m:t>
        </m:r>
        <m:r>
          <m:rPr>
            <m:sty m:val="p"/>
          </m:rPr>
          <m:t>–</m:t>
        </m:r>
      </m:oMath>
      <w:r>
        <w:rPr>
          <w:b/>
          <w:bCs/>
        </w:rPr>
        <w:t xml:space="preserve">3.90 adjusted EPS guidance</w:t>
      </w:r>
      <w:r>
        <w:t xml:space="preserve"> </w:t>
      </w:r>
      <w:r>
        <w:t xml:space="preserve">and its “toward the high end” language.</w:t>
      </w:r>
    </w:p>
    <w:p>
      <w:pPr>
        <w:pStyle w:val="Compact"/>
        <w:numPr>
          <w:ilvl w:val="0"/>
          <w:numId w:val="1001"/>
        </w:numPr>
      </w:pPr>
      <w:r>
        <w:t xml:space="preserve">Quantifies the Q2 weather and storm drag—and addresses the additional July storms, which fall in Q3.</w:t>
      </w:r>
    </w:p>
    <w:p>
      <w:pPr>
        <w:pStyle w:val="Compact"/>
        <w:numPr>
          <w:ilvl w:val="0"/>
          <w:numId w:val="1001"/>
        </w:numPr>
      </w:pPr>
      <w:r>
        <w:t xml:space="preserve">Demonstrates continued progress on data-center contracts despite local permitting resistance.</w:t>
      </w:r>
    </w:p>
    <w:p>
      <w:pPr>
        <w:pStyle w:val="Compact"/>
        <w:numPr>
          <w:ilvl w:val="0"/>
          <w:numId w:val="1001"/>
        </w:numPr>
      </w:pPr>
      <w:r>
        <w:t xml:space="preserve">Clarifies capital allocation following the unexpected CFO transition and speculation surrounding NorthStar.</w:t>
      </w:r>
    </w:p>
    <w:p>
      <w:pPr>
        <w:pStyle w:val="Compact"/>
        <w:numPr>
          <w:ilvl w:val="0"/>
          <w:numId w:val="1001"/>
        </w:numPr>
      </w:pPr>
      <w:r>
        <w:t xml:space="preserve">Shows that equity issuance and credit metrics remain under control despite a $24 billion utility investment plan.</w:t>
      </w:r>
    </w:p>
    <w:p>
      <w:pPr>
        <w:pStyle w:val="FirstParagraph"/>
      </w:pPr>
      <w:r>
        <w:t xml:space="preserve">My baseline expectation is a weak-looking Q2 print but reaffirmed annual guidance. A simple reaffirmation without the prior “toward the high end” language would probably be received as a modest negative.</w:t>
      </w:r>
    </w:p>
    <w:p>
      <w:r>
        <w:pict>
          <v:rect style="width:0;height:1.5pt" o:hralign="center" o:hrstd="t" o:hr="t"/>
        </w:pict>
      </w:r>
    </w:p>
    <w:bookmarkEnd w:id="10"/>
    <w:bookmarkStart w:id="13" w:name="earnings-setup"/>
    <w:p>
      <w:pPr>
        <w:pStyle w:val="Heading2"/>
      </w:pPr>
      <w:r>
        <w:t xml:space="preserve">Earnings setup</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setup</w:t>
            </w:r>
          </w:p>
        </w:tc>
      </w:tr>
      <w:tr>
        <w:tc>
          <w:tcPr/>
          <w:p>
            <w:pPr>
              <w:pStyle w:val="Compact"/>
            </w:pPr>
            <w:r>
              <w:t xml:space="preserve">Q2 adjusted EPS consensus</w:t>
            </w:r>
          </w:p>
        </w:tc>
        <w:tc>
          <w:tcPr/>
          <w:p>
            <w:pPr>
              <w:pStyle w:val="Compact"/>
              <w:jc w:val="right"/>
            </w:pPr>
            <w:r>
              <w:t xml:space="preserve">Approximately</w:t>
            </w:r>
            <w:r>
              <w:t xml:space="preserve"> </w:t>
            </w:r>
            <w:r>
              <w:rPr>
                <w:b/>
                <w:bCs/>
              </w:rPr>
              <w:t xml:space="preserve">$0.72</w:t>
            </w:r>
          </w:p>
        </w:tc>
      </w:tr>
      <w:tr>
        <w:tc>
          <w:tcPr/>
          <w:p>
            <w:pPr>
              <w:pStyle w:val="Compact"/>
            </w:pPr>
            <w:r>
              <w:t xml:space="preserve">Consensus range</w:t>
            </w:r>
          </w:p>
        </w:tc>
        <w:tc>
          <w:tcPr/>
          <w:p>
            <w:pPr>
              <w:pStyle w:val="Compact"/>
              <w:jc w:val="right"/>
            </w:pPr>
            <m:oMath>
              <m:r>
                <m:t>0.62</m:t>
              </m:r>
              <m:r>
                <m:rPr>
                  <m:sty m:val="p"/>
                </m:rPr>
                <m:t>–</m:t>
              </m:r>
            </m:oMath>
            <w:r>
              <w:rPr>
                <w:b/>
                <w:bCs/>
              </w:rPr>
              <w:t xml:space="preserve">0.77</w:t>
            </w:r>
          </w:p>
        </w:tc>
      </w:tr>
      <w:tr>
        <w:tc>
          <w:tcPr/>
          <w:p>
            <w:pPr>
              <w:pStyle w:val="Compact"/>
            </w:pPr>
            <w:r>
              <w:t xml:space="preserve">Recent storm-focused estimates</w:t>
            </w:r>
          </w:p>
        </w:tc>
        <w:tc>
          <w:tcPr/>
          <w:p>
            <w:pPr>
              <w:pStyle w:val="Compact"/>
              <w:jc w:val="right"/>
            </w:pPr>
            <w:r>
              <w:t xml:space="preserve">Approximately</w:t>
            </w:r>
            <w:r>
              <w:t xml:space="preserve"> </w:t>
            </w:r>
            <m:oMath>
              <m:r>
                <m:t>0.35</m:t>
              </m:r>
              <m:r>
                <m:rPr>
                  <m:sty m:val="p"/>
                </m:rPr>
                <m:t>–</m:t>
              </m:r>
            </m:oMath>
            <w:r>
              <w:rPr>
                <w:b/>
                <w:bCs/>
              </w:rPr>
              <w:t xml:space="preserve">0.36</w:t>
            </w:r>
          </w:p>
        </w:tc>
      </w:tr>
      <w:tr>
        <w:tc>
          <w:tcPr/>
          <w:p>
            <w:pPr>
              <w:pStyle w:val="Compact"/>
            </w:pPr>
            <w:r>
              <w:t xml:space="preserve">Q2 2025 adjusted EPS</w:t>
            </w:r>
          </w:p>
        </w:tc>
        <w:tc>
          <w:tcPr/>
          <w:p>
            <w:pPr>
              <w:pStyle w:val="Compact"/>
              <w:jc w:val="right"/>
            </w:pPr>
            <w:r>
              <w:rPr>
                <w:b/>
                <w:bCs/>
              </w:rPr>
              <w:t xml:space="preserve">$0.71</w:t>
            </w:r>
          </w:p>
        </w:tc>
      </w:tr>
      <w:tr>
        <w:tc>
          <w:tcPr/>
          <w:p>
            <w:pPr>
              <w:pStyle w:val="Compact"/>
            </w:pPr>
            <w:r>
              <w:t xml:space="preserve">Revenue consensus</w:t>
            </w:r>
          </w:p>
        </w:tc>
        <w:tc>
          <w:tcPr/>
          <w:p>
            <w:pPr>
              <w:pStyle w:val="Compact"/>
              <w:jc w:val="right"/>
            </w:pPr>
            <w:r>
              <w:t xml:space="preserve">Approximately</w:t>
            </w:r>
            <w:r>
              <w:t xml:space="preserve"> </w:t>
            </w:r>
            <m:oMath>
              <m:r>
                <m:t>1.88</m:t>
              </m:r>
              <m:r>
                <m:rPr>
                  <m:sty m:val="p"/>
                </m:rPr>
                <m:t>–</m:t>
              </m:r>
            </m:oMath>
            <w:r>
              <w:rPr>
                <w:b/>
                <w:bCs/>
              </w:rPr>
              <w:t xml:space="preserve">1.89 billion</w:t>
            </w:r>
          </w:p>
        </w:tc>
      </w:tr>
      <w:tr>
        <w:tc>
          <w:tcPr/>
          <w:p>
            <w:pPr>
              <w:pStyle w:val="Compact"/>
            </w:pPr>
            <w:r>
              <w:t xml:space="preserve">2026 adjusted EPS guidance</w:t>
            </w:r>
          </w:p>
        </w:tc>
        <w:tc>
          <w:tcPr/>
          <w:p>
            <w:pPr>
              <w:pStyle w:val="Compact"/>
              <w:jc w:val="right"/>
            </w:pPr>
            <m:oMath>
              <m:r>
                <m:t>3.83</m:t>
              </m:r>
              <m:r>
                <m:rPr>
                  <m:sty m:val="p"/>
                </m:rPr>
                <m:t>–</m:t>
              </m:r>
            </m:oMath>
            <w:r>
              <w:rPr>
                <w:b/>
                <w:bCs/>
              </w:rPr>
              <w:t xml:space="preserve">3.90</w:t>
            </w:r>
          </w:p>
        </w:tc>
      </w:tr>
      <w:tr>
        <w:tc>
          <w:tcPr/>
          <w:p>
            <w:pPr>
              <w:pStyle w:val="Compact"/>
            </w:pPr>
            <w:r>
              <w:t xml:space="preserve">Q1 2026 adjusted EPS</w:t>
            </w:r>
          </w:p>
        </w:tc>
        <w:tc>
          <w:tcPr/>
          <w:p>
            <w:pPr>
              <w:pStyle w:val="Compact"/>
              <w:jc w:val="right"/>
            </w:pPr>
            <w:r>
              <w:rPr>
                <w:b/>
                <w:bCs/>
              </w:rPr>
              <w:t xml:space="preserve">$1.13</w:t>
            </w:r>
          </w:p>
        </w:tc>
      </w:tr>
      <w:tr>
        <w:tc>
          <w:tcPr/>
          <w:p>
            <w:pPr>
              <w:pStyle w:val="Compact"/>
            </w:pPr>
            <w:r>
              <w:t xml:space="preserve">Long-term adjusted EPS growth</w:t>
            </w:r>
          </w:p>
        </w:tc>
        <w:tc>
          <w:tcPr/>
          <w:p>
            <w:pPr>
              <w:pStyle w:val="Compact"/>
              <w:jc w:val="right"/>
            </w:pPr>
            <w:r>
              <w:rPr>
                <w:b/>
                <w:bCs/>
              </w:rPr>
              <w:t xml:space="preserve">6%–8%, toward the high end</w:t>
            </w:r>
          </w:p>
        </w:tc>
      </w:tr>
    </w:tbl>
    <w:p>
      <w:pPr>
        <w:pStyle w:val="BodyText"/>
      </w:pPr>
      <w:r>
        <w:t xml:space="preserve">Published consensus data are unusually dispersed. Barchart shows four estimates averaging $0.72, while recent Jefferies and UBS work points to roughly</w:t>
      </w:r>
      <w:r>
        <w:t xml:space="preserve"> </w:t>
      </w:r>
      <m:oMath>
        <m:r>
          <m:t>0.35</m:t>
        </m:r>
        <m:r>
          <m:rPr>
            <m:sty m:val="p"/>
          </m:rPr>
          <m:t>–</m:t>
        </m:r>
      </m:oMath>
      <w:r>
        <w:t xml:space="preserve">0.36 because of storms, unfavorable weather and a tough prior-year comparison. The difference makes the earnings bridge more informative than the headline beat or miss. (</w:t>
      </w:r>
      <w:hyperlink r:id="rId11">
        <w:r>
          <w:rPr>
            <w:rStyle w:val="Hyperlink"/>
          </w:rPr>
          <w:t xml:space="preserve">barchart.com</w:t>
        </w:r>
      </w:hyperlink>
      <w:r>
        <w:t xml:space="preserve">)</w:t>
      </w:r>
    </w:p>
    <w:p>
      <w:pPr>
        <w:pStyle w:val="BodyText"/>
      </w:pPr>
      <w:r>
        <w:t xml:space="preserve">Last year’s second quarter benefited from favorable June weather. That creates a difficult comparison even before considering this year’s storm-restoration expense. CMS restored more than 183,000 customers following severe weather in June, and Michigan regulatory data list numerous sizable Consumers Energy outage events during the quarter. (</w:t>
      </w:r>
      <w:hyperlink r:id="rId12">
        <w:r>
          <w:rPr>
            <w:rStyle w:val="Hyperlink"/>
          </w:rPr>
          <w:t xml:space="preserve">consumersenergy.com</w:t>
        </w:r>
      </w:hyperlink>
      <w:r>
        <w:t xml:space="preserve">)</w:t>
      </w:r>
    </w:p>
    <w:p>
      <w:r>
        <w:pict>
          <v:rect style="width:0;height:1.5pt" o:hralign="center" o:hrstd="t" o:hr="t"/>
        </w:pict>
      </w:r>
    </w:p>
    <w:bookmarkEnd w:id="13"/>
    <w:bookmarkStart w:id="16" w:name="X038a9deaae302ba7595a0dc4167cc78b6595f61"/>
    <w:p>
      <w:pPr>
        <w:pStyle w:val="Heading2"/>
      </w:pPr>
      <w:r>
        <w:t xml:space="preserve">1. Full-year guidance is the primary event</w:t>
      </w:r>
    </w:p>
    <w:p>
      <w:pPr>
        <w:pStyle w:val="FirstParagraph"/>
      </w:pPr>
      <w:r>
        <w:t xml:space="preserve">CMS entered Q2 with strong positioning after earning $1.13 per share in Q1 and maintaining confidence toward the high end of its</w:t>
      </w:r>
      <w:r>
        <w:t xml:space="preserve"> </w:t>
      </w:r>
      <m:oMath>
        <m:r>
          <m:t>3.83</m:t>
        </m:r>
        <m:r>
          <m:rPr>
            <m:sty m:val="p"/>
          </m:rPr>
          <m:t>–</m:t>
        </m:r>
      </m:oMath>
      <w:r>
        <w:t xml:space="preserve">3.90 annual range. The company repeated that outlook in its June investor presentation following the CFO transition. (</w:t>
      </w:r>
      <w:hyperlink r:id="rId14">
        <w:r>
          <w:rPr>
            <w:rStyle w:val="Hyperlink"/>
          </w:rPr>
          <w:t xml:space="preserve">s26.q4cdn.com</w:t>
        </w:r>
      </w:hyperlink>
      <w:r>
        <w:t xml:space="preserve">)</w:t>
      </w:r>
    </w:p>
    <w:p>
      <w:pPr>
        <w:pStyle w:val="BodyText"/>
      </w:pPr>
      <w:r>
        <w:t xml:space="preserve">The critical distinction:</w:t>
      </w:r>
    </w:p>
    <w:p>
      <w:pPr>
        <w:pStyle w:val="Compact"/>
        <w:numPr>
          <w:ilvl w:val="0"/>
          <w:numId w:val="1002"/>
        </w:numPr>
      </w:pPr>
      <w:r>
        <w:rPr>
          <w:b/>
          <w:bCs/>
        </w:rPr>
        <w:t xml:space="preserve">Bullish:</w:t>
      </w:r>
      <w:r>
        <w:t xml:space="preserve"> </w:t>
      </w:r>
      <w:r>
        <w:t xml:space="preserve">Guidance reaffirmed with continued confidence toward</w:t>
      </w:r>
      <w:r>
        <w:t xml:space="preserve"> </w:t>
      </w:r>
      <w:r>
        <w:rPr>
          <w:b/>
          <w:bCs/>
        </w:rPr>
        <w:t xml:space="preserve">$3.90</w:t>
      </w:r>
      <w:r>
        <w:t xml:space="preserve">, supported by identifiable cost savings, rate relief, NorthStar and financing actions.</w:t>
      </w:r>
    </w:p>
    <w:p>
      <w:pPr>
        <w:pStyle w:val="Compact"/>
        <w:numPr>
          <w:ilvl w:val="0"/>
          <w:numId w:val="1002"/>
        </w:numPr>
      </w:pPr>
      <w:r>
        <w:rPr>
          <w:b/>
          <w:bCs/>
        </w:rPr>
        <w:t xml:space="preserve">Neutral:</w:t>
      </w:r>
      <w:r>
        <w:t xml:space="preserve"> </w:t>
      </w:r>
      <w:r>
        <w:t xml:space="preserve">Range reaffirmed, but management drops the “toward the high end” language.</w:t>
      </w:r>
    </w:p>
    <w:p>
      <w:pPr>
        <w:pStyle w:val="Compact"/>
        <w:numPr>
          <w:ilvl w:val="0"/>
          <w:numId w:val="1002"/>
        </w:numPr>
      </w:pPr>
      <w:r>
        <w:rPr>
          <w:b/>
          <w:bCs/>
        </w:rPr>
        <w:t xml:space="preserve">Bearish:</w:t>
      </w:r>
      <w:r>
        <w:t xml:space="preserve"> </w:t>
      </w:r>
      <w:r>
        <w:t xml:space="preserve">Guidance narrowed toward the low end or reduced because of weather, storms, financing or operating costs.</w:t>
      </w:r>
    </w:p>
    <w:p>
      <w:pPr>
        <w:pStyle w:val="FirstParagraph"/>
      </w:pPr>
      <w:r>
        <w:t xml:space="preserve">At the published $3.87 annual consensus, CMS is already expected to land near the midpoint of its guidance. Therefore, the stock likely needs either high-end confidence or improved long-term visibility—not merely an in-line Q2 EPS result—to respond positively. (</w:t>
      </w:r>
      <w:hyperlink r:id="rId11">
        <w:r>
          <w:rPr>
            <w:rStyle w:val="Hyperlink"/>
          </w:rPr>
          <w:t xml:space="preserve">barchart.com</w:t>
        </w:r>
      </w:hyperlink>
      <w:r>
        <w:t xml:space="preserve">)</w:t>
      </w:r>
    </w:p>
    <w:bookmarkStart w:id="15" w:name="what-to-look-for-in-the-earnings-bridge"/>
    <w:p>
      <w:pPr>
        <w:pStyle w:val="Heading3"/>
      </w:pPr>
      <w:r>
        <w:t xml:space="preserve">What to look for in the earnings bridge</w:t>
      </w:r>
    </w:p>
    <w:p>
      <w:pPr>
        <w:pStyle w:val="FirstParagraph"/>
      </w:pPr>
      <w:r>
        <w:t xml:space="preserve">CMS should explain:</w:t>
      </w:r>
    </w:p>
    <w:p>
      <w:pPr>
        <w:pStyle w:val="Compact"/>
        <w:numPr>
          <w:ilvl w:val="0"/>
          <w:numId w:val="1003"/>
        </w:numPr>
      </w:pPr>
      <w:r>
        <w:t xml:space="preserve">Weather-normalized electric and gas sales.</w:t>
      </w:r>
    </w:p>
    <w:p>
      <w:pPr>
        <w:pStyle w:val="Compact"/>
        <w:numPr>
          <w:ilvl w:val="0"/>
          <w:numId w:val="1003"/>
        </w:numPr>
      </w:pPr>
      <w:r>
        <w:t xml:space="preserve">Q2 restoration expense, particularly the June storms.</w:t>
      </w:r>
    </w:p>
    <w:p>
      <w:pPr>
        <w:pStyle w:val="Compact"/>
        <w:numPr>
          <w:ilvl w:val="0"/>
          <w:numId w:val="1003"/>
        </w:numPr>
      </w:pPr>
      <w:r>
        <w:t xml:space="preserve">Rate relief net of investment-related costs.</w:t>
      </w:r>
    </w:p>
    <w:p>
      <w:pPr>
        <w:pStyle w:val="Compact"/>
        <w:numPr>
          <w:ilvl w:val="0"/>
          <w:numId w:val="1003"/>
        </w:numPr>
      </w:pPr>
      <w:r>
        <w:t xml:space="preserve">Cost reductions through the “CE Way.”</w:t>
      </w:r>
    </w:p>
    <w:p>
      <w:pPr>
        <w:pStyle w:val="Compact"/>
        <w:numPr>
          <w:ilvl w:val="0"/>
          <w:numId w:val="1003"/>
        </w:numPr>
      </w:pPr>
      <w:r>
        <w:t xml:space="preserve">NorthStar and Dearborn Industrial Generation performance.</w:t>
      </w:r>
    </w:p>
    <w:p>
      <w:pPr>
        <w:pStyle w:val="Compact"/>
        <w:numPr>
          <w:ilvl w:val="0"/>
          <w:numId w:val="1003"/>
        </w:numPr>
      </w:pPr>
      <w:r>
        <w:t xml:space="preserve">Higher average shares and parent financing expense.</w:t>
      </w:r>
    </w:p>
    <w:p>
      <w:pPr>
        <w:pStyle w:val="Compact"/>
        <w:numPr>
          <w:ilvl w:val="0"/>
          <w:numId w:val="1003"/>
        </w:numPr>
      </w:pPr>
      <w:r>
        <w:t xml:space="preserve">Any regulatory deferral or alternative recovery of extraordinary storm costs.</w:t>
      </w:r>
    </w:p>
    <w:p>
      <w:r>
        <w:pict>
          <v:rect style="width:0;height:1.5pt" o:hralign="center" o:hrstd="t" o:hr="t"/>
        </w:pict>
      </w:r>
    </w:p>
    <w:bookmarkEnd w:id="15"/>
    <w:bookmarkEnd w:id="16"/>
    <w:bookmarkStart w:id="18" w:name="Xbf0cf44148121e7dabdd17b364234a0ee8c9217"/>
    <w:p>
      <w:pPr>
        <w:pStyle w:val="Heading2"/>
      </w:pPr>
      <w:r>
        <w:t xml:space="preserve">2. Storms are both an earnings issue and a regulatory issue</w:t>
      </w:r>
    </w:p>
    <w:p>
      <w:pPr>
        <w:pStyle w:val="FirstParagraph"/>
      </w:pPr>
      <w:r>
        <w:t xml:space="preserve">Consumers Energy faced several significant outages during Q2, including events affecting approximately 92,000 customers beginning June 10. The July 3 storm subsequently produced approximately 276,000 reported Consumers Energy outages and prompted an MPSC investigation into the response of Michigan’s major utilities. (</w:t>
      </w:r>
      <w:hyperlink r:id="rId17">
        <w:r>
          <w:rPr>
            <w:rStyle w:val="Hyperlink"/>
          </w:rPr>
          <w:t xml:space="preserve">michigan.gov</w:t>
        </w:r>
      </w:hyperlink>
      <w:r>
        <w:t xml:space="preserve">)</w:t>
      </w:r>
    </w:p>
    <w:p>
      <w:pPr>
        <w:pStyle w:val="BodyText"/>
      </w:pPr>
      <w:r>
        <w:t xml:space="preserve">The distinction between quarters matters:</w:t>
      </w:r>
    </w:p>
    <w:p>
      <w:pPr>
        <w:pStyle w:val="Compact"/>
        <w:numPr>
          <w:ilvl w:val="0"/>
          <w:numId w:val="1004"/>
        </w:numPr>
      </w:pPr>
      <w:r>
        <w:rPr>
          <w:b/>
          <w:bCs/>
        </w:rPr>
        <w:t xml:space="preserve">June storms affect the Q2 result.</w:t>
      </w:r>
    </w:p>
    <w:p>
      <w:pPr>
        <w:pStyle w:val="Compact"/>
        <w:numPr>
          <w:ilvl w:val="0"/>
          <w:numId w:val="1004"/>
        </w:numPr>
      </w:pPr>
      <w:r>
        <w:rPr>
          <w:b/>
          <w:bCs/>
        </w:rPr>
        <w:t xml:space="preserve">The early-July storm belongs in Q3</w:t>
      </w:r>
      <w:r>
        <w:t xml:space="preserve">, but could affect full-year guidance, customer credits, regulatory relationships and future O&amp;M spending.</w:t>
      </w:r>
    </w:p>
    <w:p>
      <w:pPr>
        <w:pStyle w:val="FirstParagraph"/>
      </w:pPr>
      <w:r>
        <w:t xml:space="preserve">Investors should focus on whether CMS can absorb the additional July costs without changing annual guidance. Management’s explanation of storm-cost recovery will also matter because CMS has a heavy reliability-investment agenda and is simultaneously asking customers for higher rates.</w:t>
      </w:r>
    </w:p>
    <w:p>
      <w:pPr>
        <w:pStyle w:val="BodyText"/>
      </w:pPr>
      <w:r>
        <w:t xml:space="preserve">The regulatory investigation is unlikely to alter Q2 earnings directly, but it increases scrutiny around reliability, vegetation management and the affordability case for further grid investment.</w:t>
      </w:r>
    </w:p>
    <w:p>
      <w:r>
        <w:pict>
          <v:rect style="width:0;height:1.5pt" o:hralign="center" o:hrstd="t" o:hr="t"/>
        </w:pict>
      </w:r>
    </w:p>
    <w:bookmarkEnd w:id="18"/>
    <w:bookmarkStart w:id="20" w:name="X60834db4c3d6bf6273104f1dde4750282ab2ca4"/>
    <w:p>
      <w:pPr>
        <w:pStyle w:val="Heading2"/>
      </w:pPr>
      <w:r>
        <w:t xml:space="preserve">3. Data centers: large upside, but execution has become the gating factor</w:t>
      </w:r>
    </w:p>
    <w:p>
      <w:pPr>
        <w:pStyle w:val="FirstParagraph"/>
      </w:pPr>
      <w:r>
        <w:t xml:space="preserve">At Q1, CMS described a roughly 9 GW economic-development pipeline, with two hyperscale data-center prospects in advanced-to-final contract stages. Management estimated that each incremental gigawatt of large load could support</w:t>
      </w:r>
      <w:r>
        <w:t xml:space="preserve"> </w:t>
      </w:r>
      <m:oMath>
        <m:r>
          <m:t>2</m:t>
        </m:r>
        <m:r>
          <m:t>b</m:t>
        </m:r>
        <m:r>
          <m:t>i</m:t>
        </m:r>
        <m:r>
          <m:t>l</m:t>
        </m:r>
        <m:r>
          <m:t>l</m:t>
        </m:r>
        <m:r>
          <m:t>i</m:t>
        </m:r>
        <m:r>
          <m:t>o</m:t>
        </m:r>
        <m:r>
          <m:t>n</m:t>
        </m:r>
        <m:r>
          <m:rPr>
            <m:sty m:val="p"/>
          </m:rPr>
          <m:t>–</m:t>
        </m:r>
      </m:oMath>
      <w:r>
        <w:rPr>
          <w:b/>
          <w:bCs/>
        </w:rPr>
        <w:t xml:space="preserve">5 billion of additional capital investment</w:t>
      </w:r>
      <w:r>
        <w:t xml:space="preserve"> </w:t>
      </w:r>
      <w:r>
        <w:t xml:space="preserve">and reduce average customer rate growth by spreading fixed costs across a larger base.</w:t>
      </w:r>
    </w:p>
    <w:p>
      <w:pPr>
        <w:pStyle w:val="BodyText"/>
      </w:pPr>
      <w:r>
        <w:t xml:space="preserve">The economic logic remains compelling, but local permitting has become a more visible risk. Gaines Township considered a six-month moratorium on approvals and permits for new data centers so it could develop specific zoning and operating standards. (</w:t>
      </w:r>
      <w:hyperlink r:id="rId19">
        <w:r>
          <w:rPr>
            <w:rStyle w:val="Hyperlink"/>
          </w:rPr>
          <w:t xml:space="preserve">cms2.revize.com</w:t>
        </w:r>
      </w:hyperlink>
      <w:r>
        <w:t xml:space="preserve">)</w:t>
      </w:r>
    </w:p>
    <w:p>
      <w:pPr>
        <w:pStyle w:val="BodyText"/>
      </w:pPr>
      <w:r>
        <w:t xml:space="preserve">CMS has not publicly identified the counterparties and sites associated with its advanced prospects. Nevertheless, the market will want concrete answers on:</w:t>
      </w:r>
    </w:p>
    <w:p>
      <w:pPr>
        <w:pStyle w:val="Compact"/>
        <w:numPr>
          <w:ilvl w:val="0"/>
          <w:numId w:val="1005"/>
        </w:numPr>
      </w:pPr>
      <w:r>
        <w:t xml:space="preserve">Whether the most advanced data-center project remains on schedule.</w:t>
      </w:r>
    </w:p>
    <w:p>
      <w:pPr>
        <w:pStyle w:val="Compact"/>
        <w:numPr>
          <w:ilvl w:val="0"/>
          <w:numId w:val="1005"/>
        </w:numPr>
      </w:pPr>
      <w:r>
        <w:t xml:space="preserve">Whether early load can still begin around 2028.</w:t>
      </w:r>
    </w:p>
    <w:p>
      <w:pPr>
        <w:pStyle w:val="Compact"/>
        <w:numPr>
          <w:ilvl w:val="0"/>
          <w:numId w:val="1005"/>
        </w:numPr>
      </w:pPr>
      <w:r>
        <w:t xml:space="preserve">Whether commercial terms have progressed to a signed, enforceable contract.</w:t>
      </w:r>
    </w:p>
    <w:p>
      <w:pPr>
        <w:pStyle w:val="Compact"/>
        <w:numPr>
          <w:ilvl w:val="0"/>
          <w:numId w:val="1005"/>
        </w:numPr>
      </w:pPr>
      <w:r>
        <w:t xml:space="preserve">Which permits and local approvals remain outstanding.</w:t>
      </w:r>
    </w:p>
    <w:p>
      <w:pPr>
        <w:pStyle w:val="Compact"/>
        <w:numPr>
          <w:ilvl w:val="0"/>
          <w:numId w:val="1005"/>
        </w:numPr>
      </w:pPr>
      <w:r>
        <w:t xml:space="preserve">Whether the Gaines Township moratorium affects a CMS prospect.</w:t>
      </w:r>
    </w:p>
    <w:p>
      <w:pPr>
        <w:pStyle w:val="Compact"/>
        <w:numPr>
          <w:ilvl w:val="0"/>
          <w:numId w:val="1005"/>
        </w:numPr>
      </w:pPr>
      <w:r>
        <w:t xml:space="preserve">Whether the second advanced customer has moved forward or backward.</w:t>
      </w:r>
    </w:p>
    <w:p>
      <w:pPr>
        <w:pStyle w:val="FirstParagraph"/>
      </w:pPr>
      <w:r>
        <w:t xml:space="preserve">A signed contract with credible permitting progress would be one of the strongest possible positive catalysts. Conversely, another quarter of generalized optimism without measurable milestones could lead investors to discount the data-center pipeline further.</w:t>
      </w:r>
    </w:p>
    <w:p>
      <w:r>
        <w:pict>
          <v:rect style="width:0;height:1.5pt" o:hralign="center" o:hrstd="t" o:hr="t"/>
        </w:pict>
      </w:r>
    </w:p>
    <w:bookmarkEnd w:id="20"/>
    <w:bookmarkStart w:id="24" w:name="X7a4f0aebd0e48d6a1333177796cce90a3287708"/>
    <w:p>
      <w:pPr>
        <w:pStyle w:val="Heading2"/>
      </w:pPr>
      <w:r>
        <w:t xml:space="preserve">4. CFO transition and NorthStar strategy</w:t>
      </w:r>
    </w:p>
    <w:p>
      <w:pPr>
        <w:pStyle w:val="FirstParagraph"/>
      </w:pPr>
      <w:r>
        <w:t xml:space="preserve">Rejji Hayes retired unexpectedly on June 3, and Sri Maddipati—formerly president of Consumers Energy’s electric supply business—became CFO immediately. CMS characterized the transition as seamless and highlighted Maddipati’s roughly 20 years of finance and utility experience, including prior treasury and investor-relations roles. (</w:t>
      </w:r>
      <w:hyperlink r:id="rId21">
        <w:r>
          <w:rPr>
            <w:rStyle w:val="Hyperlink"/>
          </w:rPr>
          <w:t xml:space="preserve">d18rn0p25nwr6d.cloudfront.net</w:t>
        </w:r>
      </w:hyperlink>
      <w:r>
        <w:t xml:space="preserve">)</w:t>
      </w:r>
    </w:p>
    <w:p>
      <w:pPr>
        <w:pStyle w:val="BodyText"/>
      </w:pPr>
      <w:r>
        <w:t xml:space="preserve">This will be Maddipati’s first earnings report as CFO, so investors will be evaluating more than quarterly numbers. Areas of focus include:</w:t>
      </w:r>
    </w:p>
    <w:p>
      <w:pPr>
        <w:pStyle w:val="Compact"/>
        <w:numPr>
          <w:ilvl w:val="0"/>
          <w:numId w:val="1006"/>
        </w:numPr>
      </w:pPr>
      <w:r>
        <w:t xml:space="preserve">Consistency of financial policy and guidance philosophy.</w:t>
      </w:r>
    </w:p>
    <w:p>
      <w:pPr>
        <w:pStyle w:val="Compact"/>
        <w:numPr>
          <w:ilvl w:val="0"/>
          <w:numId w:val="1006"/>
        </w:numPr>
      </w:pPr>
      <w:r>
        <w:t xml:space="preserve">Equity-forward execution.</w:t>
      </w:r>
    </w:p>
    <w:p>
      <w:pPr>
        <w:pStyle w:val="Compact"/>
        <w:numPr>
          <w:ilvl w:val="0"/>
          <w:numId w:val="1006"/>
        </w:numPr>
      </w:pPr>
      <w:r>
        <w:t xml:space="preserve">Credit-rating countermeasures.</w:t>
      </w:r>
    </w:p>
    <w:p>
      <w:pPr>
        <w:pStyle w:val="Compact"/>
        <w:numPr>
          <w:ilvl w:val="0"/>
          <w:numId w:val="1006"/>
        </w:numPr>
      </w:pPr>
      <w:r>
        <w:t xml:space="preserve">Appetite for portfolio changes.</w:t>
      </w:r>
    </w:p>
    <w:p>
      <w:pPr>
        <w:pStyle w:val="Compact"/>
        <w:numPr>
          <w:ilvl w:val="0"/>
          <w:numId w:val="1006"/>
        </w:numPr>
      </w:pPr>
      <w:r>
        <w:t xml:space="preserve">Whether capital shifts toward the regulated utility.</w:t>
      </w:r>
    </w:p>
    <w:p>
      <w:pPr>
        <w:pStyle w:val="FirstParagraph"/>
      </w:pPr>
      <w:r>
        <w:t xml:space="preserve">NorthStar is only about 5% of CMS’s earnings mix, but it has become strategically important because of potential asset-sale speculation. Jefferies cited uncertainty surrounding NorthStar, the CFO transition and data-center prospects when it downgraded CMS in June. (</w:t>
      </w:r>
      <w:hyperlink r:id="rId22">
        <w:r>
          <w:rPr>
            <w:rStyle w:val="Hyperlink"/>
          </w:rPr>
          <w:t xml:space="preserve">investing.com</w:t>
        </w:r>
      </w:hyperlink>
      <w:r>
        <w:t xml:space="preserve">)</w:t>
      </w:r>
    </w:p>
    <w:p>
      <w:pPr>
        <w:pStyle w:val="BodyText"/>
      </w:pPr>
      <w:r>
        <w:t xml:space="preserve">CMS’s June presentation continued to emphasize upside from recontracting Dearborn Industrial Generation. It showed NorthStar with more than 1,000 MW in Michigan, including DIG and peakers, plus wind, solar and biomass assets. (</w:t>
      </w:r>
      <w:hyperlink r:id="rId14">
        <w:r>
          <w:rPr>
            <w:rStyle w:val="Hyperlink"/>
          </w:rPr>
          <w:t xml:space="preserve">s26.q4cdn.com</w:t>
        </w:r>
      </w:hyperlink>
      <w:r>
        <w:t xml:space="preserve">)</w:t>
      </w:r>
    </w:p>
    <w:bookmarkStart w:id="23" w:name="the-key-northstar-question"/>
    <w:p>
      <w:pPr>
        <w:pStyle w:val="Heading3"/>
      </w:pPr>
      <w:r>
        <w:t xml:space="preserve">The key NorthStar question</w:t>
      </w:r>
    </w:p>
    <w:p>
      <w:pPr>
        <w:pStyle w:val="FirstParagraph"/>
      </w:pPr>
      <w:r>
        <w:t xml:space="preserve">A sale could simplify CMS into an almost entirely regulated utility and fund regulated investment. However, it could also produce near-term EPS dilution if proceeds are not redeployed at comparable returns. Investors need to know whether management’s long-term 6%–8% growth commitment would survive any portfolio change without relying on materially more equity.</w:t>
      </w:r>
    </w:p>
    <w:p>
      <w:r>
        <w:pict>
          <v:rect style="width:0;height:1.5pt" o:hralign="center" o:hrstd="t" o:hr="t"/>
        </w:pict>
      </w:r>
    </w:p>
    <w:bookmarkEnd w:id="23"/>
    <w:bookmarkEnd w:id="24"/>
    <w:bookmarkStart w:id="26" w:name="Xea27ffedf6df8cff63a3e88dea29a0a9ca2b705"/>
    <w:p>
      <w:pPr>
        <w:pStyle w:val="Heading2"/>
      </w:pPr>
      <w:r>
        <w:t xml:space="preserve">5. Regulation: constructive backdrop, rising affordability pressure</w:t>
      </w:r>
    </w:p>
    <w:p>
      <w:pPr>
        <w:pStyle w:val="FirstParagraph"/>
      </w:pPr>
      <w:r>
        <w:t xml:space="preserve">CMS’s regulatory record remains a central strength. In March, the MPSC authorized approximately $276.6 million of additional electric revenue, plus selected deferrals, while maintaining a 9.9% authorized ROE. (</w:t>
      </w:r>
      <w:hyperlink r:id="rId25">
        <w:r>
          <w:rPr>
            <w:rStyle w:val="Hyperlink"/>
          </w:rPr>
          <w:t xml:space="preserve">michigan.gov</w:t>
        </w:r>
      </w:hyperlink>
      <w:r>
        <w:t xml:space="preserve">)</w:t>
      </w:r>
    </w:p>
    <w:p>
      <w:pPr>
        <w:pStyle w:val="BodyText"/>
      </w:pPr>
      <w:r>
        <w:t xml:space="preserve">Since then, Consumers Energy has filed another electric rate case:</w:t>
      </w:r>
    </w:p>
    <w:p>
      <w:pPr>
        <w:pStyle w:val="Compact"/>
        <w:numPr>
          <w:ilvl w:val="0"/>
          <w:numId w:val="1007"/>
        </w:numPr>
      </w:pPr>
      <w:r>
        <w:rPr>
          <w:b/>
          <w:bCs/>
        </w:rPr>
        <w:t xml:space="preserve">$456 million request</w:t>
      </w:r>
    </w:p>
    <w:p>
      <w:pPr>
        <w:pStyle w:val="Compact"/>
        <w:numPr>
          <w:ilvl w:val="0"/>
          <w:numId w:val="1007"/>
        </w:numPr>
      </w:pPr>
      <w:r>
        <w:rPr>
          <w:b/>
          <w:bCs/>
        </w:rPr>
        <w:t xml:space="preserve">10.25% requested ROE</w:t>
      </w:r>
    </w:p>
    <w:p>
      <w:pPr>
        <w:pStyle w:val="Compact"/>
        <w:numPr>
          <w:ilvl w:val="0"/>
          <w:numId w:val="1007"/>
        </w:numPr>
      </w:pPr>
      <w:r>
        <w:t xml:space="preserve">Expected customer impact of approximately</w:t>
      </w:r>
      <w:r>
        <w:t xml:space="preserve"> </w:t>
      </w:r>
      <w:r>
        <w:rPr>
          <w:b/>
          <w:bCs/>
        </w:rPr>
        <w:t xml:space="preserve">$13 per month</w:t>
      </w:r>
      <w:r>
        <w:t xml:space="preserve">, or 9%, for the average residential customer if fully approved</w:t>
      </w:r>
    </w:p>
    <w:p>
      <w:pPr>
        <w:pStyle w:val="Compact"/>
        <w:numPr>
          <w:ilvl w:val="0"/>
          <w:numId w:val="1007"/>
        </w:numPr>
      </w:pPr>
      <w:r>
        <w:t xml:space="preserve">Requested implementation beginning in May 2027 (</w:t>
      </w:r>
      <w:hyperlink r:id="rId14">
        <w:r>
          <w:rPr>
            <w:rStyle w:val="Hyperlink"/>
          </w:rPr>
          <w:t xml:space="preserve">s26.q4cdn.com</w:t>
        </w:r>
      </w:hyperlink>
      <w:r>
        <w:t xml:space="preserve">)</w:t>
      </w:r>
    </w:p>
    <w:p>
      <w:pPr>
        <w:pStyle w:val="FirstParagraph"/>
      </w:pPr>
      <w:r>
        <w:t xml:space="preserve">The pending gas case was also updated in June to a revised $232 million request, with MPSC staff supporting approximately 72% of that amount. (</w:t>
      </w:r>
      <w:hyperlink r:id="rId14">
        <w:r>
          <w:rPr>
            <w:rStyle w:val="Hyperlink"/>
          </w:rPr>
          <w:t xml:space="preserve">s26.q4cdn.com</w:t>
        </w:r>
      </w:hyperlink>
      <w:r>
        <w:t xml:space="preserve">)</w:t>
      </w:r>
    </w:p>
    <w:p>
      <w:pPr>
        <w:pStyle w:val="BodyText"/>
      </w:pPr>
      <w:r>
        <w:t xml:space="preserve">The investor debate is straightforward:</w:t>
      </w:r>
    </w:p>
    <w:p>
      <w:pPr>
        <w:pStyle w:val="Compact"/>
        <w:numPr>
          <w:ilvl w:val="0"/>
          <w:numId w:val="1008"/>
        </w:numPr>
      </w:pPr>
      <w:r>
        <w:t xml:space="preserve">The rate cases support CMS’s 10.5% projected annual rate-base growth.</w:t>
      </w:r>
    </w:p>
    <w:p>
      <w:pPr>
        <w:pStyle w:val="Compact"/>
        <w:numPr>
          <w:ilvl w:val="0"/>
          <w:numId w:val="1008"/>
        </w:numPr>
      </w:pPr>
      <w:r>
        <w:t xml:space="preserve">Large and repeated rate requests increase political and customer resistance.</w:t>
      </w:r>
    </w:p>
    <w:p>
      <w:pPr>
        <w:pStyle w:val="Compact"/>
        <w:numPr>
          <w:ilvl w:val="0"/>
          <w:numId w:val="1008"/>
        </w:numPr>
      </w:pPr>
      <w:r>
        <w:t xml:space="preserve">Recent storm outages could make reliability spending easier to justify but harder to defend if customers do not see faster operational improvement.</w:t>
      </w:r>
    </w:p>
    <w:p>
      <w:pPr>
        <w:pStyle w:val="FirstParagraph"/>
      </w:pPr>
      <w:r>
        <w:t xml:space="preserve">A constructive gas-case update would be positive. Any suggestion that storm investigations or affordability concerns are changing the expected electric-case outcome would be more consequential.</w:t>
      </w:r>
    </w:p>
    <w:p>
      <w:r>
        <w:pict>
          <v:rect style="width:0;height:1.5pt" o:hralign="center" o:hrstd="t" o:hr="t"/>
        </w:pict>
      </w:r>
    </w:p>
    <w:bookmarkEnd w:id="26"/>
    <w:bookmarkStart w:id="27" w:name="X5f073e3d71a53c9c1dea9eaef913cadb4220e5c"/>
    <w:p>
      <w:pPr>
        <w:pStyle w:val="Heading2"/>
      </w:pPr>
      <w:r>
        <w:t xml:space="preserve">6. Capital plan, equity dilution and credit quality</w:t>
      </w:r>
    </w:p>
    <w:p>
      <w:pPr>
        <w:pStyle w:val="FirstParagraph"/>
      </w:pPr>
      <w:r>
        <w:t xml:space="preserve">CMS plans approximately</w:t>
      </w:r>
      <w:r>
        <w:t xml:space="preserve"> </w:t>
      </w:r>
      <w:r>
        <w:rPr>
          <w:b/>
          <w:bCs/>
        </w:rPr>
        <w:t xml:space="preserve">$24 billion of utility investment from 2026–2030</w:t>
      </w:r>
      <w:r>
        <w:t xml:space="preserve">, supporting growth in rate base from $28.4 billion in 2025 to $46.8 billion in 2030—roughly a 10.5% CAGR. (</w:t>
      </w:r>
      <w:hyperlink r:id="rId14">
        <w:r>
          <w:rPr>
            <w:rStyle w:val="Hyperlink"/>
          </w:rPr>
          <w:t xml:space="preserve">s26.q4cdn.com</w:t>
        </w:r>
      </w:hyperlink>
      <w:r>
        <w:t xml:space="preserve">)</w:t>
      </w:r>
    </w:p>
    <w:p>
      <w:pPr>
        <w:pStyle w:val="BodyText"/>
      </w:pPr>
      <w:r>
        <w:t xml:space="preserve">Funding that program requires substantial equity:</w:t>
      </w:r>
    </w:p>
    <w:p>
      <w:pPr>
        <w:pStyle w:val="Compact"/>
        <w:numPr>
          <w:ilvl w:val="0"/>
          <w:numId w:val="1009"/>
        </w:numPr>
      </w:pPr>
      <w:r>
        <w:t xml:space="preserve">Approximately</w:t>
      </w:r>
      <w:r>
        <w:t xml:space="preserve"> </w:t>
      </w:r>
      <w:r>
        <w:rPr>
          <w:b/>
          <w:bCs/>
        </w:rPr>
        <w:t xml:space="preserve">$700 million planned in 2026</w:t>
      </w:r>
      <w:r>
        <w:t xml:space="preserve">.</w:t>
      </w:r>
    </w:p>
    <w:p>
      <w:pPr>
        <w:pStyle w:val="Compact"/>
        <w:numPr>
          <w:ilvl w:val="0"/>
          <w:numId w:val="1009"/>
        </w:numPr>
      </w:pPr>
      <w:r>
        <w:t xml:space="preserve">Roughly</w:t>
      </w:r>
      <w:r>
        <w:t xml:space="preserve"> </w:t>
      </w:r>
      <w:r>
        <w:rPr>
          <w:b/>
          <w:bCs/>
        </w:rPr>
        <w:t xml:space="preserve">$750 million annually on average</w:t>
      </w:r>
      <w:r>
        <w:t xml:space="preserve"> </w:t>
      </w:r>
      <w:r>
        <w:t xml:space="preserve">thereafter, although issuance is front-loaded.</w:t>
      </w:r>
    </w:p>
    <w:p>
      <w:pPr>
        <w:pStyle w:val="Compact"/>
        <w:numPr>
          <w:ilvl w:val="0"/>
          <w:numId w:val="1009"/>
        </w:numPr>
      </w:pPr>
      <w:r>
        <w:t xml:space="preserve">About</w:t>
      </w:r>
      <w:r>
        <w:t xml:space="preserve"> </w:t>
      </w:r>
      <w:r>
        <w:rPr>
          <w:b/>
          <w:bCs/>
        </w:rPr>
        <w:t xml:space="preserve">$495 million of 2026 equity forwards had been priced favorably to plan</w:t>
      </w:r>
      <w:r>
        <w:t xml:space="preserve"> </w:t>
      </w:r>
      <w:r>
        <w:t xml:space="preserve">by June.</w:t>
      </w:r>
    </w:p>
    <w:p>
      <w:pPr>
        <w:pStyle w:val="Compact"/>
        <w:numPr>
          <w:ilvl w:val="0"/>
          <w:numId w:val="1009"/>
        </w:numPr>
      </w:pPr>
      <w:r>
        <w:t xml:space="preserve">Approximately</w:t>
      </w:r>
      <w:r>
        <w:t xml:space="preserve"> </w:t>
      </w:r>
      <w:r>
        <w:rPr>
          <w:b/>
          <w:bCs/>
        </w:rPr>
        <w:t xml:space="preserve">$142 million had been settled</w:t>
      </w:r>
      <w:r>
        <w:t xml:space="preserve">.</w:t>
      </w:r>
    </w:p>
    <w:p>
      <w:pPr>
        <w:pStyle w:val="Compact"/>
        <w:numPr>
          <w:ilvl w:val="0"/>
          <w:numId w:val="1009"/>
        </w:numPr>
      </w:pPr>
      <w:r>
        <w:t xml:space="preserve">CMS established an ATM program permitting up to $3 billion of stock sales, although that authorization should not be confused with an immediate plan to issue the full amount. (</w:t>
      </w:r>
      <w:hyperlink r:id="rId14">
        <w:r>
          <w:rPr>
            <w:rStyle w:val="Hyperlink"/>
          </w:rPr>
          <w:t xml:space="preserve">s26.q4cdn.com</w:t>
        </w:r>
      </w:hyperlink>
      <w:r>
        <w:t xml:space="preserve">)</w:t>
      </w:r>
    </w:p>
    <w:p>
      <w:pPr>
        <w:pStyle w:val="FirstParagraph"/>
      </w:pPr>
      <w:r>
        <w:t xml:space="preserve">The large ATM authorization is mainly a flexible funding vehicle. The more useful questions are how much equity has now been priced or settled and whether CMS has begun derisking 2027 requirements.</w:t>
      </w:r>
    </w:p>
    <w:p>
      <w:pPr>
        <w:pStyle w:val="BodyText"/>
      </w:pPr>
      <w:r>
        <w:t xml:space="preserve">Credit remains another constraint. Moody’s has a negative outlook on Consumers Energy, while the other listed agency outlooks were stable as of the June presentation. Management previously linked Moody’s concern to the scale of the investment plan and the timing of cost recovery. (</w:t>
      </w:r>
      <w:hyperlink r:id="rId14">
        <w:r>
          <w:rPr>
            <w:rStyle w:val="Hyperlink"/>
          </w:rPr>
          <w:t xml:space="preserve">s26.q4cdn.com</w:t>
        </w:r>
      </w:hyperlink>
      <w:r>
        <w:t xml:space="preserve">)</w:t>
      </w:r>
    </w:p>
    <w:p>
      <w:pPr>
        <w:pStyle w:val="BodyText"/>
      </w:pPr>
      <w:r>
        <w:t xml:space="preserve">A credible financing update would include:</w:t>
      </w:r>
    </w:p>
    <w:p>
      <w:pPr>
        <w:pStyle w:val="Compact"/>
        <w:numPr>
          <w:ilvl w:val="0"/>
          <w:numId w:val="1010"/>
        </w:numPr>
      </w:pPr>
      <w:r>
        <w:t xml:space="preserve">Completion or substantial derisking of 2026 equity.</w:t>
      </w:r>
    </w:p>
    <w:p>
      <w:pPr>
        <w:pStyle w:val="Compact"/>
        <w:numPr>
          <w:ilvl w:val="0"/>
          <w:numId w:val="1010"/>
        </w:numPr>
      </w:pPr>
      <w:r>
        <w:t xml:space="preserve">No increase to planned equity absent incremental growth capital.</w:t>
      </w:r>
    </w:p>
    <w:p>
      <w:pPr>
        <w:pStyle w:val="Compact"/>
        <w:numPr>
          <w:ilvl w:val="0"/>
          <w:numId w:val="1010"/>
        </w:numPr>
      </w:pPr>
      <w:r>
        <w:t xml:space="preserve">Specific steps to protect utility credit metrics.</w:t>
      </w:r>
    </w:p>
    <w:p>
      <w:pPr>
        <w:pStyle w:val="Compact"/>
        <w:numPr>
          <w:ilvl w:val="0"/>
          <w:numId w:val="1010"/>
        </w:numPr>
      </w:pPr>
      <w:r>
        <w:t xml:space="preserve">Continued access to attractive fixed-rate debt.</w:t>
      </w:r>
    </w:p>
    <w:p>
      <w:pPr>
        <w:pStyle w:val="Compact"/>
        <w:numPr>
          <w:ilvl w:val="0"/>
          <w:numId w:val="1010"/>
        </w:numPr>
      </w:pPr>
      <w:r>
        <w:t xml:space="preserve">No reduction in the capital plan solely to defend ratings.</w:t>
      </w:r>
    </w:p>
    <w:p>
      <w:r>
        <w:pict>
          <v:rect style="width:0;height:1.5pt" o:hralign="center" o:hrstd="t" o:hr="t"/>
        </w:pict>
      </w:r>
    </w:p>
    <w:bookmarkEnd w:id="27"/>
    <w:bookmarkStart w:id="28" w:name="Xa206a9271ada78d36e30900ab841e3e4db3d6fa"/>
    <w:p>
      <w:pPr>
        <w:pStyle w:val="Heading2"/>
      </w:pPr>
      <w:r>
        <w:t xml:space="preserve">7. Integrated Resource Plan timing</w:t>
      </w:r>
    </w:p>
    <w:p>
      <w:pPr>
        <w:pStyle w:val="FirstParagraph"/>
      </w:pPr>
      <w:r>
        <w:t xml:space="preserve">CMS previously expected to file its Integrated Resource Plan in June, but the June investor presentation shifted the filing to</w:t>
      </w:r>
      <w:r>
        <w:t xml:space="preserve"> </w:t>
      </w:r>
      <w:r>
        <w:rPr>
          <w:b/>
          <w:bCs/>
        </w:rPr>
        <w:t xml:space="preserve">Q3 2026</w:t>
      </w:r>
      <w:r>
        <w:t xml:space="preserve">. The proposed resource strategy includes more than 13 GW of renewable and clean-energy resources, supported by approximately 1.5 GW from two new gas plants. (</w:t>
      </w:r>
      <w:hyperlink r:id="rId14">
        <w:r>
          <w:rPr>
            <w:rStyle w:val="Hyperlink"/>
          </w:rPr>
          <w:t xml:space="preserve">s26.q4cdn.com</w:t>
        </w:r>
      </w:hyperlink>
      <w:r>
        <w:t xml:space="preserve">)</w:t>
      </w:r>
    </w:p>
    <w:p>
      <w:pPr>
        <w:pStyle w:val="BodyText"/>
      </w:pPr>
      <w:r>
        <w:t xml:space="preserve">Investors should seek an explanation for the timing change and whether it reflects:</w:t>
      </w:r>
    </w:p>
    <w:p>
      <w:pPr>
        <w:pStyle w:val="Compact"/>
        <w:numPr>
          <w:ilvl w:val="0"/>
          <w:numId w:val="1011"/>
        </w:numPr>
      </w:pPr>
      <w:r>
        <w:t xml:space="preserve">Additional modeling for data-center and manufacturing load.</w:t>
      </w:r>
    </w:p>
    <w:p>
      <w:pPr>
        <w:pStyle w:val="Compact"/>
        <w:numPr>
          <w:ilvl w:val="0"/>
          <w:numId w:val="1011"/>
        </w:numPr>
      </w:pPr>
      <w:r>
        <w:t xml:space="preserve">Changes in gas-plant sites or costs.</w:t>
      </w:r>
    </w:p>
    <w:p>
      <w:pPr>
        <w:pStyle w:val="Compact"/>
        <w:numPr>
          <w:ilvl w:val="0"/>
          <w:numId w:val="1011"/>
        </w:numPr>
      </w:pPr>
      <w:r>
        <w:t xml:space="preserve">Permitting and community engagement.</w:t>
      </w:r>
    </w:p>
    <w:p>
      <w:pPr>
        <w:pStyle w:val="Compact"/>
        <w:numPr>
          <w:ilvl w:val="0"/>
          <w:numId w:val="1011"/>
        </w:numPr>
      </w:pPr>
      <w:r>
        <w:t xml:space="preserve">Federal tax or regulatory changes.</w:t>
      </w:r>
    </w:p>
    <w:p>
      <w:pPr>
        <w:pStyle w:val="Compact"/>
        <w:numPr>
          <w:ilvl w:val="0"/>
          <w:numId w:val="1011"/>
        </w:numPr>
      </w:pPr>
      <w:r>
        <w:t xml:space="preserve">A broader growth scenario requiring incremental capital.</w:t>
      </w:r>
    </w:p>
    <w:p>
      <w:pPr>
        <w:pStyle w:val="FirstParagraph"/>
      </w:pPr>
      <w:r>
        <w:t xml:space="preserve">The IRP is potentially more important to long-term valuation than the Q2 EPS print because it can define the next layer of investment beyond the current $24 billion plan.</w:t>
      </w:r>
    </w:p>
    <w:p>
      <w:r>
        <w:pict>
          <v:rect style="width:0;height:1.5pt" o:hralign="center" o:hrstd="t" o:hr="t"/>
        </w:pict>
      </w:r>
    </w:p>
    <w:bookmarkEnd w:id="28"/>
    <w:bookmarkStart w:id="29" w:name="valuation-and-stock-setup"/>
    <w:p>
      <w:pPr>
        <w:pStyle w:val="Heading2"/>
      </w:pPr>
      <w:r>
        <w:t xml:space="preserve">Valuation and stock setup</w:t>
      </w:r>
    </w:p>
    <w:p>
      <w:pPr>
        <w:pStyle w:val="FirstParagraph"/>
      </w:pPr>
      <w:r>
        <w:t xml:space="preserve">At the July 27 close of approximately $74.29, CMS trades at roughly:</w:t>
      </w:r>
    </w:p>
    <w:p>
      <w:pPr>
        <w:pStyle w:val="Compact"/>
        <w:numPr>
          <w:ilvl w:val="0"/>
          <w:numId w:val="1012"/>
        </w:numPr>
      </w:pPr>
      <w:r>
        <w:rPr>
          <w:b/>
          <w:bCs/>
        </w:rPr>
        <w:t xml:space="preserve">19.2×</w:t>
      </w:r>
      <w:r>
        <w:t xml:space="preserve"> </w:t>
      </w:r>
      <w:r>
        <w:t xml:space="preserve">the $3.87 2026 consensus EPS estimate.</w:t>
      </w:r>
    </w:p>
    <w:p>
      <w:pPr>
        <w:pStyle w:val="Compact"/>
        <w:numPr>
          <w:ilvl w:val="0"/>
          <w:numId w:val="1012"/>
        </w:numPr>
      </w:pPr>
      <w:r>
        <w:t xml:space="preserve">A</w:t>
      </w:r>
      <w:r>
        <w:t xml:space="preserve"> </w:t>
      </w:r>
      <w:r>
        <w:rPr>
          <w:b/>
          <w:bCs/>
        </w:rPr>
        <w:t xml:space="preserve">3.1% indicated dividend yield</w:t>
      </w:r>
      <w:r>
        <w:t xml:space="preserve"> </w:t>
      </w:r>
      <w:r>
        <w:t xml:space="preserve">based on the $2.28 annual dividend.</w:t>
      </w:r>
    </w:p>
    <w:p>
      <w:pPr>
        <w:pStyle w:val="Compact"/>
        <w:numPr>
          <w:ilvl w:val="0"/>
          <w:numId w:val="1012"/>
        </w:numPr>
      </w:pPr>
      <w:r>
        <w:t xml:space="preserve">About</w:t>
      </w:r>
      <w:r>
        <w:t xml:space="preserve"> </w:t>
      </w:r>
      <w:r>
        <w:rPr>
          <w:b/>
          <w:bCs/>
        </w:rPr>
        <w:t xml:space="preserve">6% above</w:t>
      </w:r>
      <w:r>
        <w:t xml:space="preserve"> </w:t>
      </w:r>
      <w:r>
        <w:t xml:space="preserve">its year-end 2025 price but slightly below its price on the Q1 reporting date.</w:t>
      </w:r>
    </w:p>
    <w:p>
      <w:pPr>
        <w:pStyle w:val="FirstParagraph"/>
      </w:pPr>
      <w:r>
        <w:t xml:space="preserve">That is not a distressed valuation. CMS still receives credit for consistency, constructive Michigan regulation and above-average rate-base growth. The current multiple therefore leaves limited room for a guidance reduction or further delays in the data-center pipeline.</w:t>
      </w:r>
    </w:p>
    <w:p>
      <w:r>
        <w:pict>
          <v:rect style="width:0;height:1.5pt" o:hralign="center" o:hrstd="t" o:hr="t"/>
        </w:pict>
      </w:r>
    </w:p>
    <w:bookmarkEnd w:id="29"/>
    <w:bookmarkStart w:id="33" w:name="likely-market-reactions"/>
    <w:p>
      <w:pPr>
        <w:pStyle w:val="Heading2"/>
      </w:pPr>
      <w:r>
        <w:t xml:space="preserve">Likely market reactions</w:t>
      </w:r>
    </w:p>
    <w:bookmarkStart w:id="30" w:name="bull-case"/>
    <w:p>
      <w:pPr>
        <w:pStyle w:val="Heading3"/>
      </w:pPr>
      <w:r>
        <w:t xml:space="preserve">Bull case</w:t>
      </w:r>
    </w:p>
    <w:p>
      <w:pPr>
        <w:pStyle w:val="Compact"/>
        <w:numPr>
          <w:ilvl w:val="0"/>
          <w:numId w:val="1013"/>
        </w:numPr>
      </w:pPr>
      <w:r>
        <w:t xml:space="preserve">Q2 EPS exceeds the storm-adjusted expectations.</w:t>
      </w:r>
    </w:p>
    <w:p>
      <w:pPr>
        <w:pStyle w:val="Compact"/>
        <w:numPr>
          <w:ilvl w:val="0"/>
          <w:numId w:val="1013"/>
        </w:numPr>
      </w:pPr>
      <w:r>
        <w:t xml:space="preserve">Guidance remains</w:t>
      </w:r>
      <w:r>
        <w:t xml:space="preserve"> </w:t>
      </w:r>
      <m:oMath>
        <m:r>
          <m:t>3.83</m:t>
        </m:r>
        <m:r>
          <m:rPr>
            <m:sty m:val="p"/>
          </m:rPr>
          <m:t>–</m:t>
        </m:r>
      </m:oMath>
      <w:r>
        <w:t xml:space="preserve">3.90 with explicit confidence toward $3.90.</w:t>
      </w:r>
    </w:p>
    <w:p>
      <w:pPr>
        <w:pStyle w:val="Compact"/>
        <w:numPr>
          <w:ilvl w:val="0"/>
          <w:numId w:val="1013"/>
        </w:numPr>
      </w:pPr>
      <w:r>
        <w:t xml:space="preserve">July storm costs are manageable or recoverable.</w:t>
      </w:r>
    </w:p>
    <w:p>
      <w:pPr>
        <w:pStyle w:val="Compact"/>
        <w:numPr>
          <w:ilvl w:val="0"/>
          <w:numId w:val="1013"/>
        </w:numPr>
      </w:pPr>
      <w:r>
        <w:t xml:space="preserve">A major data-center contract is finalized with permitting milestones.</w:t>
      </w:r>
    </w:p>
    <w:p>
      <w:pPr>
        <w:pStyle w:val="Compact"/>
        <w:numPr>
          <w:ilvl w:val="0"/>
          <w:numId w:val="1013"/>
        </w:numPr>
      </w:pPr>
      <w:r>
        <w:t xml:space="preserve">NorthStar strategy is clarified without EPS dilution.</w:t>
      </w:r>
    </w:p>
    <w:p>
      <w:pPr>
        <w:pStyle w:val="Compact"/>
        <w:numPr>
          <w:ilvl w:val="0"/>
          <w:numId w:val="1013"/>
        </w:numPr>
      </w:pPr>
      <w:r>
        <w:t xml:space="preserve">2026 equity needs are substantially completed.</w:t>
      </w:r>
    </w:p>
    <w:p>
      <w:pPr>
        <w:pStyle w:val="Compact"/>
        <w:numPr>
          <w:ilvl w:val="0"/>
          <w:numId w:val="1013"/>
        </w:numPr>
      </w:pPr>
      <w:r>
        <w:t xml:space="preserve">IRP timing and incremental capital opportunities are reaffirmed.</w:t>
      </w:r>
    </w:p>
    <w:bookmarkEnd w:id="30"/>
    <w:bookmarkStart w:id="31" w:name="base-case"/>
    <w:p>
      <w:pPr>
        <w:pStyle w:val="Heading3"/>
      </w:pPr>
      <w:r>
        <w:t xml:space="preserve">Base case</w:t>
      </w:r>
    </w:p>
    <w:p>
      <w:pPr>
        <w:pStyle w:val="Compact"/>
        <w:numPr>
          <w:ilvl w:val="0"/>
          <w:numId w:val="1014"/>
        </w:numPr>
      </w:pPr>
      <w:r>
        <w:t xml:space="preserve">Weak Q2 EPS, largely explained by weather and storms.</w:t>
      </w:r>
    </w:p>
    <w:p>
      <w:pPr>
        <w:pStyle w:val="Compact"/>
        <w:numPr>
          <w:ilvl w:val="0"/>
          <w:numId w:val="1014"/>
        </w:numPr>
      </w:pPr>
      <w:r>
        <w:t xml:space="preserve">Full-year guidance reaffirmed.</w:t>
      </w:r>
    </w:p>
    <w:p>
      <w:pPr>
        <w:pStyle w:val="Compact"/>
        <w:numPr>
          <w:ilvl w:val="0"/>
          <w:numId w:val="1014"/>
        </w:numPr>
      </w:pPr>
      <w:r>
        <w:t xml:space="preserve">No material data-center contract announcement.</w:t>
      </w:r>
    </w:p>
    <w:p>
      <w:pPr>
        <w:pStyle w:val="Compact"/>
        <w:numPr>
          <w:ilvl w:val="0"/>
          <w:numId w:val="1014"/>
        </w:numPr>
      </w:pPr>
      <w:r>
        <w:t xml:space="preserve">NorthStar and capital allocation remain under evaluation.</w:t>
      </w:r>
    </w:p>
    <w:p>
      <w:pPr>
        <w:pStyle w:val="Compact"/>
        <w:numPr>
          <w:ilvl w:val="0"/>
          <w:numId w:val="1014"/>
        </w:numPr>
      </w:pPr>
      <w:r>
        <w:t xml:space="preserve">Electric and gas rate cases proceed largely as expected.</w:t>
      </w:r>
    </w:p>
    <w:p>
      <w:pPr>
        <w:pStyle w:val="FirstParagraph"/>
      </w:pPr>
      <w:r>
        <w:t xml:space="preserve">This outcome should be broadly neutral, although the stock reaction could depend on whether management retains “toward the high end.”</w:t>
      </w:r>
    </w:p>
    <w:bookmarkEnd w:id="31"/>
    <w:bookmarkStart w:id="32" w:name="bear-case"/>
    <w:p>
      <w:pPr>
        <w:pStyle w:val="Heading3"/>
      </w:pPr>
      <w:r>
        <w:t xml:space="preserve">Bear case</w:t>
      </w:r>
    </w:p>
    <w:p>
      <w:pPr>
        <w:pStyle w:val="Compact"/>
        <w:numPr>
          <w:ilvl w:val="0"/>
          <w:numId w:val="1015"/>
        </w:numPr>
      </w:pPr>
      <w:r>
        <w:t xml:space="preserve">Guidance is reduced or confidence shifts toward the low end.</w:t>
      </w:r>
    </w:p>
    <w:p>
      <w:pPr>
        <w:pStyle w:val="Compact"/>
        <w:numPr>
          <w:ilvl w:val="0"/>
          <w:numId w:val="1015"/>
        </w:numPr>
      </w:pPr>
      <w:r>
        <w:t xml:space="preserve">July storms create a meaningful unplanned Q3 expense.</w:t>
      </w:r>
    </w:p>
    <w:p>
      <w:pPr>
        <w:pStyle w:val="Compact"/>
        <w:numPr>
          <w:ilvl w:val="0"/>
          <w:numId w:val="1015"/>
        </w:numPr>
      </w:pPr>
      <w:r>
        <w:t xml:space="preserve">Data-center timing slips beyond 2028 or a major prospect falls out.</w:t>
      </w:r>
    </w:p>
    <w:p>
      <w:pPr>
        <w:pStyle w:val="Compact"/>
        <w:numPr>
          <w:ilvl w:val="0"/>
          <w:numId w:val="1015"/>
        </w:numPr>
      </w:pPr>
      <w:r>
        <w:t xml:space="preserve">NorthStar action creates an earnings hole.</w:t>
      </w:r>
    </w:p>
    <w:p>
      <w:pPr>
        <w:pStyle w:val="Compact"/>
        <w:numPr>
          <w:ilvl w:val="0"/>
          <w:numId w:val="1015"/>
        </w:numPr>
      </w:pPr>
      <w:r>
        <w:t xml:space="preserve">Equity requirements increase without incremental rate-base growth.</w:t>
      </w:r>
    </w:p>
    <w:p>
      <w:pPr>
        <w:pStyle w:val="Compact"/>
        <w:numPr>
          <w:ilvl w:val="0"/>
          <w:numId w:val="1015"/>
        </w:numPr>
      </w:pPr>
      <w:r>
        <w:t xml:space="preserve">Management identifies greater credit pressure or regulatory resistance.</w:t>
      </w:r>
    </w:p>
    <w:p>
      <w:r>
        <w:pict>
          <v:rect style="width:0;height:1.5pt" o:hralign="center" o:hrstd="t" o:hr="t"/>
        </w:pict>
      </w:r>
    </w:p>
    <w:bookmarkEnd w:id="32"/>
    <w:bookmarkEnd w:id="33"/>
    <w:bookmarkStart w:id="34" w:name="bottom-line"/>
    <w:p>
      <w:pPr>
        <w:pStyle w:val="Heading2"/>
      </w:pPr>
      <w:r>
        <w:t xml:space="preserve">Bottom line</w:t>
      </w:r>
    </w:p>
    <w:p>
      <w:pPr>
        <w:pStyle w:val="FirstParagraph"/>
      </w:pPr>
      <w:r>
        <w:t xml:space="preserve">For this report,</w:t>
      </w:r>
      <w:r>
        <w:t xml:space="preserve"> </w:t>
      </w:r>
      <w:r>
        <w:rPr>
          <w:b/>
          <w:bCs/>
        </w:rPr>
        <w:t xml:space="preserve">the quality of guidance matters more than the Q2 EPS headline</w:t>
      </w:r>
      <w:r>
        <w:t xml:space="preserve">. CMS has several tools to manage a weather- and storm-affected quarter: Q1 outperformance, rate relief, cost reductions, NorthStar performance and financing flexibility. The key test is whether those tools are sufficient to preserve high-end annual guidance.</w:t>
      </w:r>
    </w:p>
    <w:p>
      <w:pPr>
        <w:pStyle w:val="BodyText"/>
      </w:pPr>
      <w:r>
        <w:t xml:space="preserve">Beyond 2026, the investment case is moving from “steady utility execution” toward a more complicated combination of large-load conversion, major capital needs, equity issuance and potential portfolio restructuring. Investors should leave the call with clearer answers on three points:</w:t>
      </w:r>
    </w:p>
    <w:p>
      <w:pPr>
        <w:pStyle w:val="Compact"/>
        <w:numPr>
          <w:ilvl w:val="0"/>
          <w:numId w:val="1016"/>
        </w:numPr>
      </w:pPr>
      <w:r>
        <w:rPr>
          <w:b/>
          <w:bCs/>
        </w:rPr>
        <w:t xml:space="preserve">Can CMS still earn close to $3.90 this year despite storms?</w:t>
      </w:r>
    </w:p>
    <w:p>
      <w:pPr>
        <w:pStyle w:val="Compact"/>
        <w:numPr>
          <w:ilvl w:val="0"/>
          <w:numId w:val="1016"/>
        </w:numPr>
      </w:pPr>
      <w:r>
        <w:rPr>
          <w:b/>
          <w:bCs/>
        </w:rPr>
        <w:t xml:space="preserve">Is the data-center opportunity advancing from pipeline to contracted load?</w:t>
      </w:r>
    </w:p>
    <w:p>
      <w:pPr>
        <w:pStyle w:val="Compact"/>
        <w:numPr>
          <w:ilvl w:val="0"/>
          <w:numId w:val="1016"/>
        </w:numPr>
      </w:pPr>
      <w:r>
        <w:rPr>
          <w:b/>
          <w:bCs/>
        </w:rPr>
        <w:t xml:space="preserve">Will capital allocation changes strengthen or dilute the 6%–8% growth algorithm?</w:t>
      </w:r>
    </w:p>
    <w:p>
      <w:pPr>
        <w:pStyle w:val="FirstParagraph"/>
      </w:pPr>
      <w:r>
        <w:t xml:space="preserve">A high-end guidance reaffirmation plus a concrete data-center or NorthStar update would be constructive. A weak quarter accompanied only by generalized reassurance would probably be insufficient to drive meaningful upside.</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cms2.revize.com/revize/gaines/Revized%2006_08_2026%20Township%20Board%20Meeting%20Packet.pdf?t=202606080843050&amp;utm_source=openai" TargetMode="External" /><Relationship Type="http://schemas.openxmlformats.org/officeDocument/2006/relationships/hyperlink" Id="rId21" Target="https://d18rn0p25nwr6d.cloudfront.net/CIK-0000811156/f34a1517-ecee-4804-8225-9095d351a548.pdf?utm_source=openai" TargetMode="External" /><Relationship Type="http://schemas.openxmlformats.org/officeDocument/2006/relationships/hyperlink" Id="rId14" Target="https://s26.q4cdn.com/888045447/files/doc_downloads/2026/06/June-2026-Presentation.pdf" TargetMode="External" /><Relationship Type="http://schemas.openxmlformats.org/officeDocument/2006/relationships/hyperlink" Id="rId11" Target="https://www.barchart.com/stocks/quotes/CMS/earnings-estimates?utm_source=openai" TargetMode="External" /><Relationship Type="http://schemas.openxmlformats.org/officeDocument/2006/relationships/hyperlink" Id="rId9" Target="https://www.cmsenergy.com/investor-relations/events-and-presentations/event-details/2026/CMS-Energy-Second-Quarter-2026-Earnings-Call/default.aspx?utm_source=openai" TargetMode="External" /><Relationship Type="http://schemas.openxmlformats.org/officeDocument/2006/relationships/hyperlink" Id="rId12" Target="https://www.consumersenergy.com/news-releases/news-release-details/2026/06/12/consumers-energy-enters-final-stages-of-restoration-following-powerful-midweek-storms?utm_source=openai" TargetMode="External" /><Relationship Type="http://schemas.openxmlformats.org/officeDocument/2006/relationships/hyperlink" Id="rId22" Target="https://www.investing.com/news/stock-market-news/jefferies-downgrades-cms-energy-after-surprise-cfo-exit-cuts-target-to-hold-woes-4727066?utm_source=openai" TargetMode="External" /><Relationship Type="http://schemas.openxmlformats.org/officeDocument/2006/relationships/hyperlink" Id="rId25" Target="https://www.michigan.gov/mpsc/commission/news-releases/2026/03/27/commission-approves-additional-reliability-investments?utm_source=openai" TargetMode="External" /><Relationship Type="http://schemas.openxmlformats.org/officeDocument/2006/relationships/hyperlink" Id="rId17" Target="https://www.michigan.gov/mpsc/consumer/electricity/customer-outage-history?utm_source=openai" TargetMode="External" /></Relationships>
</file>

<file path=word/_rels/footnotes.xml.rels><?xml version="1.0" encoding="UTF-8"?><Relationships xmlns="http://schemas.openxmlformats.org/package/2006/relationships"><Relationship Type="http://schemas.openxmlformats.org/officeDocument/2006/relationships/hyperlink" Id="rId19" Target="https://cms2.revize.com/revize/gaines/Revized%2006_08_2026%20Township%20Board%20Meeting%20Packet.pdf?t=202606080843050&amp;utm_source=openai" TargetMode="External" /><Relationship Type="http://schemas.openxmlformats.org/officeDocument/2006/relationships/hyperlink" Id="rId21" Target="https://d18rn0p25nwr6d.cloudfront.net/CIK-0000811156/f34a1517-ecee-4804-8225-9095d351a548.pdf?utm_source=openai" TargetMode="External" /><Relationship Type="http://schemas.openxmlformats.org/officeDocument/2006/relationships/hyperlink" Id="rId14" Target="https://s26.q4cdn.com/888045447/files/doc_downloads/2026/06/June-2026-Presentation.pdf" TargetMode="External" /><Relationship Type="http://schemas.openxmlformats.org/officeDocument/2006/relationships/hyperlink" Id="rId11" Target="https://www.barchart.com/stocks/quotes/CMS/earnings-estimates?utm_source=openai" TargetMode="External" /><Relationship Type="http://schemas.openxmlformats.org/officeDocument/2006/relationships/hyperlink" Id="rId9" Target="https://www.cmsenergy.com/investor-relations/events-and-presentations/event-details/2026/CMS-Energy-Second-Quarter-2026-Earnings-Call/default.aspx?utm_source=openai" TargetMode="External" /><Relationship Type="http://schemas.openxmlformats.org/officeDocument/2006/relationships/hyperlink" Id="rId12" Target="https://www.consumersenergy.com/news-releases/news-release-details/2026/06/12/consumers-energy-enters-final-stages-of-restoration-following-powerful-midweek-storms?utm_source=openai" TargetMode="External" /><Relationship Type="http://schemas.openxmlformats.org/officeDocument/2006/relationships/hyperlink" Id="rId22" Target="https://www.investing.com/news/stock-market-news/jefferies-downgrades-cms-energy-after-surprise-cfo-exit-cuts-target-to-hold-woes-4727066?utm_source=openai" TargetMode="External" /><Relationship Type="http://schemas.openxmlformats.org/officeDocument/2006/relationships/hyperlink" Id="rId25" Target="https://www.michigan.gov/mpsc/commission/news-releases/2026/03/27/commission-approves-additional-reliability-investments?utm_source=openai" TargetMode="External" /><Relationship Type="http://schemas.openxmlformats.org/officeDocument/2006/relationships/hyperlink" Id="rId17" Target="https://www.michigan.gov/mpsc/consumer/electricity/customer-outage-history?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2026-07-28T00:48:16Z</dcterms:created>
  <dcterms:modified xsi:type="dcterms:W3CDTF">2026-07-28T00:48:16Z</dcterms:modified>
</cp:coreProperties>
</file>

<file path=docProps/custom.xml><?xml version="1.0" encoding="utf-8"?>
<Properties xmlns="http://schemas.openxmlformats.org/officeDocument/2006/custom-properties" xmlns:vt="http://schemas.openxmlformats.org/officeDocument/2006/docPropsVTypes"/>
</file>