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c32defedf1561d79b938558b1608ac85f54da7"/>
    <w:p>
      <w:pPr>
        <w:pStyle w:val="Heading1"/>
      </w:pPr>
      <w:r>
        <w:t xml:space="preserve">CMS Energy (NYSE: CMS) — 2Q26 Earnings Preview</w:t>
      </w:r>
    </w:p>
    <w:p>
      <w:pPr>
        <w:pStyle w:val="BlockText"/>
      </w:pPr>
      <w:r>
        <w:rPr>
          <w:b/>
          <w:bCs/>
        </w:rPr>
        <w:t xml:space="preserve">Timing correction:</w:t>
      </w:r>
      <w:r>
        <w:t xml:space="preserve"> </w:t>
      </w:r>
      <w:r>
        <w:t xml:space="preserve">CMS is scheduled to report</w:t>
      </w:r>
      <w:r>
        <w:t xml:space="preserve"> </w:t>
      </w:r>
      <w:r>
        <w:rPr>
          <w:b/>
          <w:bCs/>
        </w:rPr>
        <w:t xml:space="preserve">today, Tuesday, July 28, 2026, at 10:00 a.m. EDT</w:t>
      </w:r>
      <w:r>
        <w:t xml:space="preserve">—not tomorrow. This is therefore a</w:t>
      </w:r>
      <w:r>
        <w:t xml:space="preserve"> </w:t>
      </w:r>
      <w:r>
        <w:rPr>
          <w:b/>
          <w:bCs/>
        </w:rPr>
        <w:t xml:space="preserve">pre-results preview</w:t>
      </w:r>
      <w:r>
        <w:t xml:space="preserve">, using information available through the July 27 market close.</w:t>
      </w:r>
    </w:p>
    <w:bookmarkStart w:id="9" w:name="bottom-line"/>
    <w:p>
      <w:pPr>
        <w:pStyle w:val="Heading2"/>
      </w:pPr>
      <w:r>
        <w:t xml:space="preserve">Bottom line</w:t>
      </w:r>
    </w:p>
    <w:p>
      <w:pPr>
        <w:pStyle w:val="FirstParagraph"/>
      </w:pPr>
      <w:r>
        <w:t xml:space="preserve">CMS enters 2Q with its core regulated-utility growth plan intact: a</w:t>
      </w:r>
      <w:r>
        <w:t xml:space="preserve"> </w:t>
      </w:r>
      <w:r>
        <w:rPr>
          <w:b/>
          <w:bCs/>
        </w:rPr>
        <w:t xml:space="preserve">$24 billion 2026–2030 capital program</w:t>
      </w:r>
      <w:r>
        <w:t xml:space="preserve">, targeted</w:t>
      </w:r>
      <w:r>
        <w:t xml:space="preserve"> </w:t>
      </w:r>
      <w:r>
        <w:rPr>
          <w:b/>
          <w:bCs/>
        </w:rPr>
        <w:t xml:space="preserve">10.5% annual rate-base growth</w:t>
      </w:r>
      <w:r>
        <w:t xml:space="preserve">, and</w:t>
      </w:r>
      <w:r>
        <w:t xml:space="preserve"> </w:t>
      </w:r>
      <w:r>
        <w:rPr>
          <w:b/>
          <w:bCs/>
        </w:rPr>
        <w:t xml:space="preserve">2026 adjusted EPS guidance of</w:t>
      </w:r>
      <w:r>
        <w:rPr>
          <w:b/>
          <w:bCs/>
        </w:rPr>
        <w:t xml:space="preserve"> </w:t>
      </w:r>
      <m:oMath>
        <m:r>
          <m:t>3.83</m:t>
        </m:r>
        <m:r>
          <m:rPr>
            <m:sty m:val="p"/>
          </m:rPr>
          <m:t>–</m:t>
        </m:r>
      </m:oMath>
      <w:r>
        <w:rPr>
          <w:b/>
          <w:bCs/>
        </w:rPr>
        <w:t xml:space="preserve">3.90</w:t>
      </w:r>
      <w:r>
        <w:t xml:space="preserve">, with management previously expressing confidence toward the high end.</w:t>
      </w:r>
    </w:p>
    <w:p>
      <w:pPr>
        <w:pStyle w:val="BodyText"/>
      </w:pPr>
      <w:r>
        <w:t xml:space="preserve">The key for investors is unlikely to be a single-quarter EPS beat or miss. Instead, the call should establish whether CMS can continue to deliver its intended formula—constructive regulatory recovery, cost control, customer-load growth, and disciplined financing—while managing three increasingly important constraints:</w:t>
      </w:r>
    </w:p>
    <w:p>
      <w:pPr>
        <w:pStyle w:val="Compact"/>
        <w:numPr>
          <w:ilvl w:val="0"/>
          <w:numId w:val="1001"/>
        </w:numPr>
      </w:pPr>
      <w:r>
        <w:rPr>
          <w:b/>
          <w:bCs/>
        </w:rPr>
        <w:t xml:space="preserve">Customer affordability and regulatory scrutiny</w:t>
      </w:r>
    </w:p>
    <w:p>
      <w:pPr>
        <w:pStyle w:val="Compact"/>
        <w:numPr>
          <w:ilvl w:val="0"/>
          <w:numId w:val="1001"/>
        </w:numPr>
      </w:pPr>
      <w:r>
        <w:rPr>
          <w:b/>
          <w:bCs/>
        </w:rPr>
        <w:t xml:space="preserve">Funding needs and the utility’s credit outlook</w:t>
      </w:r>
    </w:p>
    <w:p>
      <w:pPr>
        <w:pStyle w:val="Compact"/>
        <w:numPr>
          <w:ilvl w:val="0"/>
          <w:numId w:val="1001"/>
        </w:numPr>
      </w:pPr>
      <w:r>
        <w:rPr>
          <w:b/>
          <w:bCs/>
        </w:rPr>
        <w:t xml:space="preserve">Whether data-center and other large-load opportunities become investable growth rather than just pipeline optionality</w:t>
      </w:r>
    </w:p>
    <w:p>
      <w:pPr>
        <w:pStyle w:val="FirstParagraph"/>
      </w:pPr>
      <w:r>
        <w:t xml:space="preserve">My expectation is that management will</w:t>
      </w:r>
      <w:r>
        <w:t xml:space="preserve"> </w:t>
      </w:r>
      <w:r>
        <w:rPr>
          <w:b/>
          <w:bCs/>
        </w:rPr>
        <w:t xml:space="preserve">reaffirm 2026 guidance</w:t>
      </w:r>
      <w:r>
        <w:t xml:space="preserve"> </w:t>
      </w:r>
      <w:r>
        <w:t xml:space="preserve">unless second-quarter storm costs, financing pressure, or regulatory developments materially changed its outlook. The more consequential question is whether it can sustain its “high end” confidence after accounting for equity issuance and elevated investment requirements.</w:t>
      </w:r>
    </w:p>
    <w:p>
      <w:r>
        <w:pict>
          <v:rect style="width:0;height:1.5pt" o:hralign="center" o:hrstd="t" o:hr="t"/>
        </w:pict>
      </w:r>
    </w:p>
    <w:bookmarkEnd w:id="9"/>
    <w:bookmarkStart w:id="15" w:name="what-matters-most-this-quarter"/>
    <w:p>
      <w:pPr>
        <w:pStyle w:val="Heading2"/>
      </w:pPr>
      <w:r>
        <w:t xml:space="preserve">What matters most this quarter</w:t>
      </w:r>
    </w:p>
    <w:bookmarkStart w:id="10" w:name="Xcd156be3b8db52d8392bfe5216993f0bf9a3bab"/>
    <w:p>
      <w:pPr>
        <w:pStyle w:val="Heading3"/>
      </w:pPr>
      <w:r>
        <w:t xml:space="preserve">1. Guidance: reaffirmation is the base case; the tone around the high end matters more</w:t>
      </w:r>
    </w:p>
    <w:p>
      <w:pPr>
        <w:pStyle w:val="FirstParagraph"/>
      </w:pPr>
      <w:r>
        <w:t xml:space="preserve">CMS reported</w:t>
      </w:r>
      <w:r>
        <w:t xml:space="preserve"> </w:t>
      </w:r>
      <w:r>
        <w:rPr>
          <w:b/>
          <w:bCs/>
        </w:rPr>
        <w:t xml:space="preserve">1Q26 adjusted EPS of $1.13</w:t>
      </w:r>
      <w:r>
        <w:t xml:space="preserve">, up from $1.02 in 1Q25. It attributed the improvement primarily to utility rate relief and stronger NorthStar performance, partly offset by March ice-storm costs.</w:t>
      </w:r>
    </w:p>
    <w:p>
      <w:pPr>
        <w:pStyle w:val="BodyText"/>
      </w:pPr>
      <w:r>
        <w:t xml:space="preserve">Management’s full-year adjusted-EPS range is</w:t>
      </w:r>
      <w:r>
        <w:t xml:space="preserve"> </w:t>
      </w:r>
      <m:oMath>
        <m:r>
          <m:t>3.83</m:t>
        </m:r>
        <m:r>
          <m:rPr>
            <m:sty m:val="p"/>
          </m:rPr>
          <m:t>–</m:t>
        </m:r>
      </m:oMath>
      <w:r>
        <w:rPr>
          <w:b/>
          <w:bCs/>
        </w:rPr>
        <w:t xml:space="preserve">3.90</w:t>
      </w:r>
      <w:r>
        <w:t xml:space="preserve">, versus</w:t>
      </w:r>
      <w:r>
        <w:t xml:space="preserve"> </w:t>
      </w:r>
      <m:oMath>
        <m:r>
          <m:t>1.13</m:t>
        </m:r>
        <m:r>
          <m:t>e</m:t>
        </m:r>
        <m:r>
          <m:t>a</m:t>
        </m:r>
        <m:r>
          <m:t>r</m:t>
        </m:r>
        <m:r>
          <m:t>n</m:t>
        </m:r>
        <m:r>
          <m:t>e</m:t>
        </m:r>
        <m:r>
          <m:t>d</m:t>
        </m:r>
        <m:r>
          <m:t>i</m:t>
        </m:r>
        <m:r>
          <m:t>n</m:t>
        </m:r>
        <m:r>
          <m:t>t</m:t>
        </m:r>
        <m:r>
          <m:t>h</m:t>
        </m:r>
        <m:r>
          <m:t>e</m:t>
        </m:r>
        <m:r>
          <m:t>f</m:t>
        </m:r>
        <m:r>
          <m:t>i</m:t>
        </m:r>
        <m:r>
          <m:t>r</m:t>
        </m:r>
        <m:r>
          <m:t>s</m:t>
        </m:r>
        <m:r>
          <m:t>t</m:t>
        </m:r>
        <m:r>
          <m:t>q</m:t>
        </m:r>
        <m:r>
          <m:t>u</m:t>
        </m:r>
        <m:r>
          <m:t>a</m:t>
        </m:r>
        <m:r>
          <m:t>r</m:t>
        </m:r>
        <m:r>
          <m:t>t</m:t>
        </m:r>
        <m:r>
          <m:t>e</m:t>
        </m:r>
        <m:r>
          <m:t>r</m:t>
        </m:r>
        <m:r>
          <m:rPr>
            <m:sty m:val="p"/>
          </m:rPr>
          <m:t>.</m:t>
        </m:r>
        <m:r>
          <m:t>T</m:t>
        </m:r>
        <m:r>
          <m:t>h</m:t>
        </m:r>
        <m:r>
          <m:t>a</m:t>
        </m:r>
        <m:r>
          <m:t>t</m:t>
        </m:r>
        <m:r>
          <m:t>l</m:t>
        </m:r>
        <m:r>
          <m:t>e</m:t>
        </m:r>
        <m:r>
          <m:t>a</m:t>
        </m:r>
        <m:r>
          <m:t>v</m:t>
        </m:r>
        <m:r>
          <m:t>e</m:t>
        </m:r>
        <m:r>
          <m:t>s</m:t>
        </m:r>
        <m:r>
          <m:t>r</m:t>
        </m:r>
        <m:r>
          <m:t>o</m:t>
        </m:r>
        <m:r>
          <m:t>u</m:t>
        </m:r>
        <m:r>
          <m:t>g</m:t>
        </m:r>
        <m:r>
          <m:t>h</m:t>
        </m:r>
        <m:r>
          <m:t>l</m:t>
        </m:r>
        <m:r>
          <m:t>y</m:t>
        </m:r>
        <m:r>
          <m:rPr>
            <m:sty m:val="p"/>
          </m:rPr>
          <m:t>*</m:t>
        </m:r>
        <m:r>
          <m:rPr>
            <m:sty m:val="p"/>
          </m:rPr>
          <m:t>*</m:t>
        </m:r>
      </m:oMath>
      <w:r>
        <w:t xml:space="preserve">2.70–$2.77** to earn over the final nine months. Because CMS’s earnings are seasonally weighted and 2Q is normally softer, the company does not need an outsized second-quarter result to remain on plan.</w:t>
      </w:r>
    </w:p>
    <w:p>
      <w:pPr>
        <w:pStyle w:val="BodyText"/>
      </w:pPr>
      <w:r>
        <w:t xml:space="preserve">For context, CMS earned</w:t>
      </w:r>
      <w:r>
        <w:t xml:space="preserve"> </w:t>
      </w:r>
      <m:oMath>
        <m:r>
          <m:t>0.71</m:t>
        </m:r>
        <m:r>
          <m:t>o</m:t>
        </m:r>
        <m:r>
          <m:t>f</m:t>
        </m:r>
        <m:r>
          <m:t>a</m:t>
        </m:r>
        <m:r>
          <m:t>d</m:t>
        </m:r>
        <m:r>
          <m:t>j</m:t>
        </m:r>
        <m:r>
          <m:t>u</m:t>
        </m:r>
        <m:r>
          <m:t>s</m:t>
        </m:r>
        <m:r>
          <m:t>t</m:t>
        </m:r>
        <m:r>
          <m:t>e</m:t>
        </m:r>
        <m:r>
          <m:t>d</m:t>
        </m:r>
        <m:r>
          <m:t>E</m:t>
        </m:r>
        <m:r>
          <m:t>P</m:t>
        </m:r>
        <m:r>
          <m:t>S</m:t>
        </m:r>
        <m:r>
          <m:t>i</m:t>
        </m:r>
        <m:r>
          <m:t>n</m:t>
        </m:r>
        <m:r>
          <m:t>2</m:t>
        </m:r>
        <m:r>
          <m:t>Q</m:t>
        </m:r>
        <m:r>
          <m:t>25</m:t>
        </m:r>
        <m:r>
          <m:rPr>
            <m:sty m:val="p"/>
          </m:rPr>
          <m:t>*</m:t>
        </m:r>
        <m:r>
          <m:rPr>
            <m:sty m:val="p"/>
          </m:rPr>
          <m:t>*</m:t>
        </m:r>
        <m:r>
          <m:t>a</m:t>
        </m:r>
        <m:r>
          <m:t>n</m:t>
        </m:r>
        <m:r>
          <m:t>d</m:t>
        </m:r>
        <m:r>
          <m:rPr>
            <m:sty m:val="p"/>
          </m:rPr>
          <m:t>*</m:t>
        </m:r>
        <m:r>
          <m:rPr>
            <m:sty m:val="p"/>
          </m:rPr>
          <m:t>*</m:t>
        </m:r>
      </m:oMath>
      <w:r>
        <w:rPr>
          <w:b/>
          <w:bCs/>
        </w:rPr>
        <w:t xml:space="preserve">1.73 for the first half of 2025</w:t>
      </w:r>
      <w:r>
        <w:t xml:space="preserve">. A year-over-year 2Q increase would reinforce the message that authorized rate recovery and investment returns are offsetting financing dilution and operating-cost pressure.</w:t>
      </w:r>
    </w:p>
    <w:p>
      <w:pPr>
        <w:pStyle w:val="BodyText"/>
      </w:pPr>
      <w:r>
        <w:rPr>
          <w:b/>
          <w:bCs/>
        </w:rPr>
        <w:t xml:space="preserve">What investors should listen for:</w:t>
      </w:r>
    </w:p>
    <w:p>
      <w:pPr>
        <w:pStyle w:val="Compact"/>
        <w:numPr>
          <w:ilvl w:val="0"/>
          <w:numId w:val="1002"/>
        </w:numPr>
      </w:pPr>
      <w:r>
        <w:t xml:space="preserve">Does CMS still say it is positioned toward the</w:t>
      </w:r>
      <w:r>
        <w:t xml:space="preserve"> </w:t>
      </w:r>
      <w:r>
        <w:rPr>
          <w:b/>
          <w:bCs/>
        </w:rPr>
        <w:t xml:space="preserve">high end</w:t>
      </w:r>
      <w:r>
        <w:t xml:space="preserve"> </w:t>
      </w:r>
      <w:r>
        <w:t xml:space="preserve">of</w:t>
      </w:r>
      <w:r>
        <w:t xml:space="preserve"> </w:t>
      </w:r>
      <m:oMath>
        <m:r>
          <m:t>3.83</m:t>
        </m:r>
        <m:r>
          <m:rPr>
            <m:sty m:val="p"/>
          </m:rPr>
          <m:t>–</m:t>
        </m:r>
      </m:oMath>
      <w:r>
        <w:t xml:space="preserve">3.90?</w:t>
      </w:r>
    </w:p>
    <w:p>
      <w:pPr>
        <w:pStyle w:val="Compact"/>
        <w:numPr>
          <w:ilvl w:val="0"/>
          <w:numId w:val="1002"/>
        </w:numPr>
      </w:pPr>
      <w:r>
        <w:t xml:space="preserve">Are there changes to expected storm costs, weather normalization, O&amp;M savings, or NorthStar contributions?</w:t>
      </w:r>
    </w:p>
    <w:p>
      <w:pPr>
        <w:pStyle w:val="Compact"/>
        <w:numPr>
          <w:ilvl w:val="0"/>
          <w:numId w:val="1002"/>
        </w:numPr>
      </w:pPr>
      <w:r>
        <w:t xml:space="preserve">Is equity dilution tracking in line with the company’s original assumptions?</w:t>
      </w:r>
    </w:p>
    <w:p>
      <w:pPr>
        <w:pStyle w:val="Compact"/>
        <w:numPr>
          <w:ilvl w:val="0"/>
          <w:numId w:val="1002"/>
        </w:numPr>
      </w:pPr>
      <w:r>
        <w:t xml:space="preserve">Does management still expect utility sales growth of</w:t>
      </w:r>
      <w:r>
        <w:t xml:space="preserve"> </w:t>
      </w:r>
      <w:r>
        <w:rPr>
          <w:b/>
          <w:bCs/>
        </w:rPr>
        <w:t xml:space="preserve">2%–3% annually</w:t>
      </w:r>
      <w:r>
        <w:t xml:space="preserve"> </w:t>
      </w:r>
      <w:r>
        <w:t xml:space="preserve">through its planning period?</w:t>
      </w:r>
    </w:p>
    <w:p>
      <w:r>
        <w:pict>
          <v:rect style="width:0;height:1.5pt" o:hralign="center" o:hrstd="t" o:hr="t"/>
        </w:pict>
      </w:r>
    </w:p>
    <w:bookmarkEnd w:id="10"/>
    <w:bookmarkStart w:id="12" w:name="X25fa865ec2784507570af86bb16b1f2333a79ac"/>
    <w:p>
      <w:pPr>
        <w:pStyle w:val="Heading3"/>
      </w:pPr>
      <w:r>
        <w:t xml:space="preserve">2. Regulatory execution remains the central earnings driver</w:t>
      </w:r>
    </w:p>
    <w:p>
      <w:pPr>
        <w:pStyle w:val="FirstParagraph"/>
      </w:pPr>
      <w:r>
        <w:t xml:space="preserve">CMS’s 1Q commentary was constructive:</w:t>
      </w:r>
    </w:p>
    <w:p>
      <w:pPr>
        <w:pStyle w:val="Compact"/>
        <w:numPr>
          <w:ilvl w:val="0"/>
          <w:numId w:val="1003"/>
        </w:numPr>
      </w:pPr>
      <w:r>
        <w:t xml:space="preserve">Its March electric rate order approved approximately</w:t>
      </w:r>
      <w:r>
        <w:t xml:space="preserve"> </w:t>
      </w:r>
      <w:r>
        <w:rPr>
          <w:b/>
          <w:bCs/>
        </w:rPr>
        <w:t xml:space="preserve">$217 million</w:t>
      </w:r>
      <w:r>
        <w:t xml:space="preserve"> </w:t>
      </w:r>
      <w:r>
        <w:t xml:space="preserve">and maintained a</w:t>
      </w:r>
      <w:r>
        <w:t xml:space="preserve"> </w:t>
      </w:r>
      <w:r>
        <w:rPr>
          <w:b/>
          <w:bCs/>
        </w:rPr>
        <w:t xml:space="preserve">9.9% ROE</w:t>
      </w:r>
      <w:r>
        <w:t xml:space="preserve">.</w:t>
      </w:r>
    </w:p>
    <w:p>
      <w:pPr>
        <w:pStyle w:val="Compact"/>
        <w:numPr>
          <w:ilvl w:val="0"/>
          <w:numId w:val="1003"/>
        </w:numPr>
      </w:pPr>
      <w:r>
        <w:t xml:space="preserve">In the pending gas case, Michigan Public Service Commission staff had supported roughly</w:t>
      </w:r>
      <w:r>
        <w:t xml:space="preserve"> </w:t>
      </w:r>
      <m:oMath>
        <m:r>
          <m:t>183</m:t>
        </m:r>
        <m:r>
          <m:t>m</m:t>
        </m:r>
        <m:r>
          <m:t>i</m:t>
        </m:r>
        <m:r>
          <m:t>l</m:t>
        </m:r>
        <m:r>
          <m:t>l</m:t>
        </m:r>
        <m:r>
          <m:t>i</m:t>
        </m:r>
        <m:r>
          <m:t>o</m:t>
        </m:r>
        <m:r>
          <m:t>n</m:t>
        </m:r>
        <m:r>
          <m:rPr>
            <m:sty m:val="p"/>
          </m:rPr>
          <m:t>*</m:t>
        </m:r>
        <m:r>
          <m:rPr>
            <m:sty m:val="p"/>
          </m:rPr>
          <m:t>*</m:t>
        </m:r>
        <m:r>
          <m:t>o</m:t>
        </m:r>
        <m:r>
          <m:t>f</m:t>
        </m:r>
        <m:r>
          <m:t>C</m:t>
        </m:r>
        <m:r>
          <m:t>M</m:t>
        </m:r>
        <m:r>
          <m:t>S</m:t>
        </m:r>
        <m:r>
          <m:rPr>
            <m:sty m:val="p"/>
          </m:rPr>
          <m:t>’</m:t>
        </m:r>
        <m:r>
          <m:t>s</m:t>
        </m:r>
        <m:r>
          <m:rPr>
            <m:sty m:val="p"/>
          </m:rPr>
          <m:t>*</m:t>
        </m:r>
        <m:r>
          <m:rPr>
            <m:sty m:val="p"/>
          </m:rPr>
          <m:t>*</m:t>
        </m:r>
      </m:oMath>
      <w:r>
        <w:rPr>
          <w:b/>
          <w:bCs/>
        </w:rPr>
        <w:t xml:space="preserve">240 million</w:t>
      </w:r>
      <w:r>
        <w:t xml:space="preserve"> </w:t>
      </w:r>
      <w:r>
        <w:t xml:space="preserve">request, including about</w:t>
      </w:r>
      <w:r>
        <w:t xml:space="preserve"> </w:t>
      </w:r>
      <w:r>
        <w:rPr>
          <w:b/>
          <w:bCs/>
        </w:rPr>
        <w:t xml:space="preserve">94%</w:t>
      </w:r>
      <w:r>
        <w:t xml:space="preserve"> </w:t>
      </w:r>
      <w:r>
        <w:t xml:space="preserve">of proposed gas-infrastructure investment.</w:t>
      </w:r>
    </w:p>
    <w:p>
      <w:pPr>
        <w:pStyle w:val="Compact"/>
        <w:numPr>
          <w:ilvl w:val="0"/>
          <w:numId w:val="1003"/>
        </w:numPr>
      </w:pPr>
      <w:r>
        <w:t xml:space="preserve">Management expected a proposed-for-decision process in August and a potential final gas order around September or October.</w:t>
      </w:r>
    </w:p>
    <w:p>
      <w:pPr>
        <w:pStyle w:val="FirstParagraph"/>
      </w:pPr>
      <w:r>
        <w:t xml:space="preserve">The 2Q call should provide an update on that gas proceeding and clarify the assumptions embedded in 2026 guidance. A result close to the staff recommendation would support the current outlook; a materially weaker outcome would put more emphasis on cost reductions and non-regulated earnings to preserve the high end of guidance.</w:t>
      </w:r>
    </w:p>
    <w:p>
      <w:pPr>
        <w:pStyle w:val="BodyText"/>
      </w:pPr>
      <w:r>
        <w:t xml:space="preserve">The broader policy backdrop is supportive of investment but raises affordability sensitivity. In June, the MPSC approved Consumers Energy contracts totaling</w:t>
      </w:r>
      <w:r>
        <w:t xml:space="preserve"> </w:t>
      </w:r>
      <w:r>
        <w:rPr>
          <w:b/>
          <w:bCs/>
        </w:rPr>
        <w:t xml:space="preserve">1,269 MW of new solar capacity</w:t>
      </w:r>
      <w:r>
        <w:t xml:space="preserve">, including large long-term PPAs. These approvals advance the state clean-energy buildout, but also reinforce why CMS must demonstrate that capital deployment, resource procurement, and customer bills remain balanced. (</w:t>
      </w:r>
      <w:hyperlink r:id="rId11">
        <w:r>
          <w:rPr>
            <w:rStyle w:val="Hyperlink"/>
          </w:rPr>
          <w:t xml:space="preserve">michigan.gov</w:t>
        </w:r>
      </w:hyperlink>
      <w:r>
        <w:t xml:space="preserve">)</w:t>
      </w:r>
    </w:p>
    <w:p>
      <w:pPr>
        <w:pStyle w:val="BodyText"/>
      </w:pPr>
      <w:r>
        <w:rPr>
          <w:b/>
          <w:bCs/>
        </w:rPr>
        <w:t xml:space="preserve">Preview takeaway:</w:t>
      </w:r>
      <w:r>
        <w:t xml:space="preserve"> </w:t>
      </w:r>
      <w:r>
        <w:t xml:space="preserve">Regulatory visibility is good, but the market will want evidence that large renewable, grid, and gas-system investments can be recovered without upsetting CMS’s affordability narrative.</w:t>
      </w:r>
    </w:p>
    <w:p>
      <w:r>
        <w:pict>
          <v:rect style="width:0;height:1.5pt" o:hralign="center" o:hrstd="t" o:hr="t"/>
        </w:pict>
      </w:r>
    </w:p>
    <w:bookmarkEnd w:id="12"/>
    <w:bookmarkStart w:id="13" w:name="Xa5982c0d642bec5f60022d399e8ffa44668ed92"/>
    <w:p>
      <w:pPr>
        <w:pStyle w:val="Heading3"/>
      </w:pPr>
      <w:r>
        <w:t xml:space="preserve">3. Large-load and data-center developments are the primary upside catalyst—but not a near-term EPS fix</w:t>
      </w:r>
    </w:p>
    <w:p>
      <w:pPr>
        <w:pStyle w:val="FirstParagraph"/>
      </w:pPr>
      <w:r>
        <w:t xml:space="preserve">CMS has positioned economic development as a meaningful source of organic upside:</w:t>
      </w:r>
    </w:p>
    <w:p>
      <w:pPr>
        <w:pStyle w:val="Compact"/>
        <w:numPr>
          <w:ilvl w:val="0"/>
          <w:numId w:val="1004"/>
        </w:numPr>
      </w:pPr>
      <w:r>
        <w:t xml:space="preserve">Management previously cited a qualified pipeline of roughly</w:t>
      </w:r>
      <w:r>
        <w:t xml:space="preserve"> </w:t>
      </w:r>
      <w:r>
        <w:rPr>
          <w:b/>
          <w:bCs/>
        </w:rPr>
        <w:t xml:space="preserve">9 GW</w:t>
      </w:r>
      <w:r>
        <w:t xml:space="preserve">, including data centers and manufacturing.</w:t>
      </w:r>
    </w:p>
    <w:p>
      <w:pPr>
        <w:pStyle w:val="Compact"/>
        <w:numPr>
          <w:ilvl w:val="0"/>
          <w:numId w:val="1004"/>
        </w:numPr>
      </w:pPr>
      <w:r>
        <w:t xml:space="preserve">It had commercial agreement on extraordinary-facilities and rate-contract terms with a major prospective data-center customer, while local permitting and zoning work continued.</w:t>
      </w:r>
    </w:p>
    <w:p>
      <w:pPr>
        <w:pStyle w:val="Compact"/>
        <w:numPr>
          <w:ilvl w:val="0"/>
          <w:numId w:val="1004"/>
        </w:numPr>
      </w:pPr>
      <w:r>
        <w:t xml:space="preserve">CMS estimates that each incremental</w:t>
      </w:r>
      <w:r>
        <w:t xml:space="preserve"> </w:t>
      </w:r>
      <w:r>
        <w:rPr>
          <w:b/>
          <w:bCs/>
        </w:rPr>
        <w:t xml:space="preserve">1 GW</w:t>
      </w:r>
      <w:r>
        <w:t xml:space="preserve"> </w:t>
      </w:r>
      <w:r>
        <w:t xml:space="preserve">of large load could support approximately</w:t>
      </w:r>
      <w:r>
        <w:t xml:space="preserve"> </w:t>
      </w:r>
      <m:oMath>
        <m:r>
          <m:t>2</m:t>
        </m:r>
        <m:r>
          <m:t>b</m:t>
        </m:r>
        <m:r>
          <m:t>i</m:t>
        </m:r>
        <m:r>
          <m:t>l</m:t>
        </m:r>
        <m:r>
          <m:t>l</m:t>
        </m:r>
        <m:r>
          <m:t>i</m:t>
        </m:r>
        <m:r>
          <m:t>o</m:t>
        </m:r>
        <m:r>
          <m:t>n</m:t>
        </m:r>
        <m:r>
          <m:rPr>
            <m:sty m:val="p"/>
          </m:rPr>
          <m:t>–</m:t>
        </m:r>
      </m:oMath>
      <w:r>
        <w:rPr>
          <w:b/>
          <w:bCs/>
        </w:rPr>
        <w:t xml:space="preserve">5 billion</w:t>
      </w:r>
      <w:r>
        <w:t xml:space="preserve"> </w:t>
      </w:r>
      <w:r>
        <w:t xml:space="preserve">of incremental capital investment.</w:t>
      </w:r>
    </w:p>
    <w:p>
      <w:pPr>
        <w:pStyle w:val="Compact"/>
        <w:numPr>
          <w:ilvl w:val="0"/>
          <w:numId w:val="1004"/>
        </w:numPr>
      </w:pPr>
      <w:r>
        <w:t xml:space="preserve">Management has also argued that 1 GW of new load could reduce the average customer’s five-year rate CAGR by roughly</w:t>
      </w:r>
      <w:r>
        <w:t xml:space="preserve"> </w:t>
      </w:r>
      <w:r>
        <w:rPr>
          <w:b/>
          <w:bCs/>
        </w:rPr>
        <w:t xml:space="preserve">2 percentage points</w:t>
      </w:r>
      <w:r>
        <w:t xml:space="preserve">.</w:t>
      </w:r>
    </w:p>
    <w:p>
      <w:pPr>
        <w:pStyle w:val="FirstParagraph"/>
      </w:pPr>
      <w:r>
        <w:t xml:space="preserve">That opportunity is material, but investors should distinguish between</w:t>
      </w:r>
      <w:r>
        <w:t xml:space="preserve"> </w:t>
      </w:r>
      <w:r>
        <w:rPr>
          <w:b/>
          <w:bCs/>
        </w:rPr>
        <w:t xml:space="preserve">pipeline, contracts, construction, and actual load ramp</w:t>
      </w:r>
      <w:r>
        <w:t xml:space="preserve">. CMS had indicated that meaningful load ramp from its most advanced opportunities would likely begin around</w:t>
      </w:r>
      <w:r>
        <w:t xml:space="preserve"> </w:t>
      </w:r>
      <w:r>
        <w:rPr>
          <w:b/>
          <w:bCs/>
        </w:rPr>
        <w:t xml:space="preserve">2028</w:t>
      </w:r>
      <w:r>
        <w:t xml:space="preserve">, with further growth in 2029–2030. Accordingly, the nearer-term value of an update is not an immediate EPS step-up; it is increased confidence in capital-runway extension, stronger future rate-base growth, and better affordability optics.</w:t>
      </w:r>
    </w:p>
    <w:p>
      <w:pPr>
        <w:pStyle w:val="BodyText"/>
      </w:pPr>
      <w:r>
        <w:rPr>
          <w:b/>
          <w:bCs/>
        </w:rPr>
        <w:t xml:space="preserve">Questions for the call:</w:t>
      </w:r>
    </w:p>
    <w:p>
      <w:pPr>
        <w:pStyle w:val="Compact"/>
        <w:numPr>
          <w:ilvl w:val="0"/>
          <w:numId w:val="1005"/>
        </w:numPr>
      </w:pPr>
      <w:r>
        <w:t xml:space="preserve">Have any data-center contracts progressed from commercial terms to fully executed agreements?</w:t>
      </w:r>
    </w:p>
    <w:p>
      <w:pPr>
        <w:pStyle w:val="Compact"/>
        <w:numPr>
          <w:ilvl w:val="0"/>
          <w:numId w:val="1005"/>
        </w:numPr>
      </w:pPr>
      <w:r>
        <w:t xml:space="preserve">Has local permitting advanced, stalled, or broadened to additional sites?</w:t>
      </w:r>
    </w:p>
    <w:p>
      <w:pPr>
        <w:pStyle w:val="Compact"/>
        <w:numPr>
          <w:ilvl w:val="0"/>
          <w:numId w:val="1005"/>
        </w:numPr>
      </w:pPr>
      <w:r>
        <w:t xml:space="preserve">Has the expected 2028 initial-load timetable changed?</w:t>
      </w:r>
    </w:p>
    <w:p>
      <w:pPr>
        <w:pStyle w:val="Compact"/>
        <w:numPr>
          <w:ilvl w:val="0"/>
          <w:numId w:val="1005"/>
        </w:numPr>
      </w:pPr>
      <w:r>
        <w:t xml:space="preserve">Are large-load investments still incremental to the current $24 billion capital plan?</w:t>
      </w:r>
    </w:p>
    <w:p>
      <w:pPr>
        <w:pStyle w:val="Compact"/>
        <w:numPr>
          <w:ilvl w:val="0"/>
          <w:numId w:val="1005"/>
        </w:numPr>
      </w:pPr>
      <w:r>
        <w:t xml:space="preserve">What protections are embedded in contracts to prevent existing customers from subsidizing new load?</w:t>
      </w:r>
    </w:p>
    <w:p>
      <w:r>
        <w:pict>
          <v:rect style="width:0;height:1.5pt" o:hralign="center" o:hrstd="t" o:hr="t"/>
        </w:pict>
      </w:r>
    </w:p>
    <w:bookmarkEnd w:id="13"/>
    <w:bookmarkStart w:id="14" w:name="X2ed1daea7a97ad59bc3ab0fb351915337399412"/>
    <w:p>
      <w:pPr>
        <w:pStyle w:val="Heading3"/>
      </w:pPr>
      <w:r>
        <w:t xml:space="preserve">4. Financing and credit are the principal counterweights to the growth story</w:t>
      </w:r>
    </w:p>
    <w:p>
      <w:pPr>
        <w:pStyle w:val="FirstParagraph"/>
      </w:pPr>
      <w:r>
        <w:t xml:space="preserve">CMS’s capital plan is attractive but financing-intensive. Management previously planned approximately</w:t>
      </w:r>
      <w:r>
        <w:t xml:space="preserve"> </w:t>
      </w:r>
      <m:oMath>
        <m:r>
          <m:t>700</m:t>
        </m:r>
        <m:r>
          <m:t>m</m:t>
        </m:r>
        <m:r>
          <m:t>i</m:t>
        </m:r>
        <m:r>
          <m:t>l</m:t>
        </m:r>
        <m:r>
          <m:t>l</m:t>
        </m:r>
        <m:r>
          <m:t>i</m:t>
        </m:r>
        <m:r>
          <m:t>o</m:t>
        </m:r>
        <m:r>
          <m:t>n</m:t>
        </m:r>
        <m:r>
          <m:t>o</m:t>
        </m:r>
        <m:r>
          <m:t>f</m:t>
        </m:r>
        <m:r>
          <m:t>e</m:t>
        </m:r>
        <m:r>
          <m:t>q</m:t>
        </m:r>
        <m:r>
          <m:t>u</m:t>
        </m:r>
        <m:r>
          <m:t>i</m:t>
        </m:r>
        <m:r>
          <m:t>t</m:t>
        </m:r>
        <m:r>
          <m:t>y</m:t>
        </m:r>
        <m:r>
          <m:t>i</m:t>
        </m:r>
        <m:r>
          <m:t>s</m:t>
        </m:r>
        <m:r>
          <m:t>s</m:t>
        </m:r>
        <m:r>
          <m:t>u</m:t>
        </m:r>
        <m:r>
          <m:t>a</m:t>
        </m:r>
        <m:r>
          <m:t>n</m:t>
        </m:r>
        <m:r>
          <m:t>c</m:t>
        </m:r>
        <m:r>
          <m:t>e</m:t>
        </m:r>
        <m:r>
          <m:t>i</m:t>
        </m:r>
        <m:r>
          <m:t>n</m:t>
        </m:r>
        <m:r>
          <m:t>2026</m:t>
        </m:r>
        <m:r>
          <m:rPr>
            <m:sty m:val="p"/>
          </m:rPr>
          <m:t>*</m:t>
        </m:r>
        <m:r>
          <m:rPr>
            <m:sty m:val="p"/>
          </m:rPr>
          <m:t>*</m:t>
        </m:r>
        <m:r>
          <m:rPr>
            <m:sty m:val="p"/>
          </m:rPr>
          <m:t>,</m:t>
        </m:r>
        <m:r>
          <m:t>f</m:t>
        </m:r>
        <m:r>
          <m:t>o</m:t>
        </m:r>
        <m:r>
          <m:t>l</m:t>
        </m:r>
        <m:r>
          <m:t>l</m:t>
        </m:r>
        <m:r>
          <m:t>o</m:t>
        </m:r>
        <m:r>
          <m:t>w</m:t>
        </m:r>
        <m:r>
          <m:t>e</m:t>
        </m:r>
        <m:r>
          <m:t>d</m:t>
        </m:r>
        <m:r>
          <m:t>b</m:t>
        </m:r>
        <m:r>
          <m:t>y</m:t>
        </m:r>
        <m:r>
          <m:t>a</m:t>
        </m:r>
        <m:r>
          <m:t>n</m:t>
        </m:r>
        <m:r>
          <m:t>a</m:t>
        </m:r>
        <m:r>
          <m:t>v</m:t>
        </m:r>
        <m:r>
          <m:t>e</m:t>
        </m:r>
        <m:r>
          <m:t>r</m:t>
        </m:r>
        <m:r>
          <m:t>a</m:t>
        </m:r>
        <m:r>
          <m:t>g</m:t>
        </m:r>
        <m:r>
          <m:t>e</m:t>
        </m:r>
        <m:r>
          <m:t>o</m:t>
        </m:r>
        <m:r>
          <m:t>f</m:t>
        </m:r>
        <m:r>
          <m:t>r</m:t>
        </m:r>
        <m:r>
          <m:t>o</m:t>
        </m:r>
        <m:r>
          <m:t>u</m:t>
        </m:r>
        <m:r>
          <m:t>g</m:t>
        </m:r>
        <m:r>
          <m:t>h</m:t>
        </m:r>
        <m:r>
          <m:t>l</m:t>
        </m:r>
        <m:r>
          <m:t>y</m:t>
        </m:r>
        <m:r>
          <m:rPr>
            <m:sty m:val="p"/>
          </m:rPr>
          <m:t>*</m:t>
        </m:r>
        <m:r>
          <m:rPr>
            <m:sty m:val="p"/>
          </m:rPr>
          <m:t>*</m:t>
        </m:r>
      </m:oMath>
      <w:r>
        <w:rPr>
          <w:b/>
          <w:bCs/>
        </w:rPr>
        <w:t xml:space="preserve">750 million annually</w:t>
      </w:r>
      <w:r>
        <w:t xml:space="preserve"> </w:t>
      </w:r>
      <w:r>
        <w:t xml:space="preserve">over the subsequent four years, with issuance weighted more heavily toward the front end of the plan.</w:t>
      </w:r>
    </w:p>
    <w:p>
      <w:pPr>
        <w:pStyle w:val="BodyText"/>
      </w:pPr>
      <w:r>
        <w:t xml:space="preserve">By the end of 1Q, CMS had executed approximately</w:t>
      </w:r>
      <w:r>
        <w:t xml:space="preserve"> </w:t>
      </w:r>
      <m:oMath>
        <m:r>
          <m:t>495</m:t>
        </m:r>
        <m:r>
          <m:t>m</m:t>
        </m:r>
        <m:r>
          <m:t>i</m:t>
        </m:r>
        <m:r>
          <m:t>l</m:t>
        </m:r>
        <m:r>
          <m:t>l</m:t>
        </m:r>
        <m:r>
          <m:t>i</m:t>
        </m:r>
        <m:r>
          <m:t>o</m:t>
        </m:r>
        <m:r>
          <m:t>n</m:t>
        </m:r>
        <m:r>
          <m:t>o</m:t>
        </m:r>
        <m:r>
          <m:t>f</m:t>
        </m:r>
        <m:r>
          <m:t>e</m:t>
        </m:r>
        <m:r>
          <m:t>q</m:t>
        </m:r>
        <m:r>
          <m:t>u</m:t>
        </m:r>
        <m:r>
          <m:t>i</m:t>
        </m:r>
        <m:r>
          <m:t>t</m:t>
        </m:r>
        <m:r>
          <m:t>y</m:t>
        </m:r>
        <m:r>
          <m:t>f</m:t>
        </m:r>
        <m:r>
          <m:t>o</m:t>
        </m:r>
        <m:r>
          <m:t>r</m:t>
        </m:r>
        <m:r>
          <m:t>w</m:t>
        </m:r>
        <m:r>
          <m:t>a</m:t>
        </m:r>
        <m:r>
          <m:t>r</m:t>
        </m:r>
        <m:r>
          <m:t>d</m:t>
        </m:r>
        <m:r>
          <m:t>s</m:t>
        </m:r>
        <m:r>
          <m:rPr>
            <m:sty m:val="p"/>
          </m:rPr>
          <m:t>*</m:t>
        </m:r>
        <m:r>
          <m:rPr>
            <m:sty m:val="p"/>
          </m:rPr>
          <m:t>*</m:t>
        </m:r>
        <m:r>
          <m:t>a</m:t>
        </m:r>
        <m:r>
          <m:t>n</m:t>
        </m:r>
        <m:r>
          <m:t>d</m:t>
        </m:r>
        <m:r>
          <m:t>s</m:t>
        </m:r>
        <m:r>
          <m:t>e</m:t>
        </m:r>
        <m:r>
          <m:t>t</m:t>
        </m:r>
        <m:r>
          <m:t>t</m:t>
        </m:r>
        <m:r>
          <m:t>l</m:t>
        </m:r>
        <m:r>
          <m:t>e</m:t>
        </m:r>
        <m:r>
          <m:t>d</m:t>
        </m:r>
        <m:r>
          <m:t>a</m:t>
        </m:r>
        <m:r>
          <m:t>b</m:t>
        </m:r>
        <m:r>
          <m:t>o</m:t>
        </m:r>
        <m:r>
          <m:t>u</m:t>
        </m:r>
        <m:r>
          <m:t>t</m:t>
        </m:r>
        <m:r>
          <m:rPr>
            <m:sty m:val="p"/>
          </m:rPr>
          <m:t>*</m:t>
        </m:r>
        <m:r>
          <m:rPr>
            <m:sty m:val="p"/>
          </m:rPr>
          <m:t>*</m:t>
        </m:r>
      </m:oMath>
      <w:r>
        <w:rPr>
          <w:b/>
          <w:bCs/>
        </w:rPr>
        <w:t xml:space="preserve">142 million</w:t>
      </w:r>
      <w:r>
        <w:t xml:space="preserve">. That early execution reduced 2026 financing risk, but it also means the share-count headwind is no longer theoretical.</w:t>
      </w:r>
    </w:p>
    <w:p>
      <w:pPr>
        <w:pStyle w:val="BodyText"/>
      </w:pPr>
      <w:r>
        <w:t xml:space="preserve">The more important development was Moody’s moving Consumers Energy to a</w:t>
      </w:r>
      <w:r>
        <w:t xml:space="preserve"> </w:t>
      </w:r>
      <w:r>
        <w:rPr>
          <w:b/>
          <w:bCs/>
        </w:rPr>
        <w:t xml:space="preserve">negative outlook</w:t>
      </w:r>
      <w:r>
        <w:t xml:space="preserve">, citing the size of the capital program relative to the timing of cost recovery. CMS maintained that it intends to preserve solid investment-grade ratings and is evaluating countermeasures.</w:t>
      </w:r>
    </w:p>
    <w:p>
      <w:pPr>
        <w:pStyle w:val="BodyText"/>
      </w:pPr>
      <w:r>
        <w:rPr>
          <w:b/>
          <w:bCs/>
        </w:rPr>
        <w:t xml:space="preserve">Why this matters for 2Q:</w:t>
      </w:r>
    </w:p>
    <w:p>
      <w:pPr>
        <w:pStyle w:val="Compact"/>
        <w:numPr>
          <w:ilvl w:val="0"/>
          <w:numId w:val="1006"/>
        </w:numPr>
      </w:pPr>
      <w:r>
        <w:t xml:space="preserve">A larger capital plan can accelerate earnings and rate-base growth, but it can also require more debt and equity.</w:t>
      </w:r>
    </w:p>
    <w:p>
      <w:pPr>
        <w:pStyle w:val="Compact"/>
        <w:numPr>
          <w:ilvl w:val="0"/>
          <w:numId w:val="1006"/>
        </w:numPr>
      </w:pPr>
      <w:r>
        <w:t xml:space="preserve">Data-center conversion would likely increase capital needs—and, therefore, financing needs—even if it is strategically attractive.</w:t>
      </w:r>
    </w:p>
    <w:p>
      <w:pPr>
        <w:pStyle w:val="Compact"/>
        <w:numPr>
          <w:ilvl w:val="0"/>
          <w:numId w:val="1006"/>
        </w:numPr>
      </w:pPr>
      <w:r>
        <w:t xml:space="preserve">Investors will want metrics and qualitative reassurance around operating cash flow, FFO/debt, rate-base recovery timing, and the range of options available to protect the utility credit profile.</w:t>
      </w:r>
    </w:p>
    <w:p>
      <w:pPr>
        <w:pStyle w:val="FirstParagraph"/>
      </w:pPr>
      <w:r>
        <w:t xml:space="preserve">A constructive update would be confirmation that financing is proceeding at or better than plan, that equity needs have not increased, and that management sees a credible path to stabilize the Moody’s outlook.</w:t>
      </w:r>
    </w:p>
    <w:p>
      <w:r>
        <w:pict>
          <v:rect style="width:0;height:1.5pt" o:hralign="center" o:hrstd="t" o:hr="t"/>
        </w:pict>
      </w:r>
    </w:p>
    <w:bookmarkEnd w:id="14"/>
    <w:bookmarkEnd w:id="15"/>
    <w:bookmarkStart w:id="16" w:name="quarter-specific-financial-setup"/>
    <w:p>
      <w:pPr>
        <w:pStyle w:val="Heading2"/>
      </w:pPr>
      <w:r>
        <w:t xml:space="preserve">Quarter-specific financial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2Q26 setup</w:t>
            </w:r>
          </w:p>
        </w:tc>
      </w:tr>
      <w:tr>
        <w:tc>
          <w:tcPr/>
          <w:p>
            <w:pPr>
              <w:pStyle w:val="Compact"/>
            </w:pPr>
            <w:r>
              <w:rPr>
                <w:b/>
                <w:bCs/>
              </w:rPr>
              <w:t xml:space="preserve">1Q26 adjusted EPS</w:t>
            </w:r>
          </w:p>
        </w:tc>
        <w:tc>
          <w:tcPr/>
          <w:p>
            <w:pPr>
              <w:pStyle w:val="Compact"/>
            </w:pPr>
            <w:r>
              <w:t xml:space="preserve">$1.13, up $0.11 year over year</w:t>
            </w:r>
          </w:p>
        </w:tc>
      </w:tr>
      <w:tr>
        <w:tc>
          <w:tcPr/>
          <w:p>
            <w:pPr>
              <w:pStyle w:val="Compact"/>
            </w:pPr>
            <w:r>
              <w:rPr>
                <w:b/>
                <w:bCs/>
              </w:rPr>
              <w:t xml:space="preserve">2Q25 adjusted EPS comparison</w:t>
            </w:r>
          </w:p>
        </w:tc>
        <w:tc>
          <w:tcPr/>
          <w:p>
            <w:pPr>
              <w:pStyle w:val="Compact"/>
            </w:pPr>
            <w:r>
              <w:t xml:space="preserve">$0.71</w:t>
            </w:r>
          </w:p>
        </w:tc>
      </w:tr>
      <w:tr>
        <w:tc>
          <w:tcPr/>
          <w:p>
            <w:pPr>
              <w:pStyle w:val="Compact"/>
            </w:pPr>
            <w:r>
              <w:rPr>
                <w:b/>
                <w:bCs/>
              </w:rPr>
              <w:t xml:space="preserve">2026 adjusted-EPS guidance</w:t>
            </w:r>
          </w:p>
        </w:tc>
        <w:tc>
          <w:tcPr/>
          <w:p>
            <w:pPr>
              <w:pStyle w:val="Compact"/>
            </w:pPr>
            <m:oMath>
              <m:r>
                <m:t>3.83</m:t>
              </m:r>
              <m:r>
                <m:rPr>
                  <m:sty m:val="p"/>
                </m:rPr>
                <m:t>–</m:t>
              </m:r>
            </m:oMath>
            <w:r>
              <w:t xml:space="preserve">3.90</w:t>
            </w:r>
          </w:p>
        </w:tc>
      </w:tr>
      <w:tr>
        <w:tc>
          <w:tcPr/>
          <w:p>
            <w:pPr>
              <w:pStyle w:val="Compact"/>
            </w:pPr>
            <w:r>
              <w:rPr>
                <w:b/>
                <w:bCs/>
              </w:rPr>
              <w:t xml:space="preserve">Core positive drivers</w:t>
            </w:r>
          </w:p>
        </w:tc>
        <w:tc>
          <w:tcPr/>
          <w:p>
            <w:pPr>
              <w:pStyle w:val="Compact"/>
            </w:pPr>
            <w:r>
              <w:t xml:space="preserve">Electric-rate recovery, renewable-project earnings, gas-case progress, CE Way cost savings, potential NorthStar execution</w:t>
            </w:r>
          </w:p>
        </w:tc>
      </w:tr>
      <w:tr>
        <w:tc>
          <w:tcPr/>
          <w:p>
            <w:pPr>
              <w:pStyle w:val="Compact"/>
            </w:pPr>
            <w:r>
              <w:rPr>
                <w:b/>
                <w:bCs/>
              </w:rPr>
              <w:t xml:space="preserve">Core offsets/risks</w:t>
            </w:r>
          </w:p>
        </w:tc>
        <w:tc>
          <w:tcPr/>
          <w:p>
            <w:pPr>
              <w:pStyle w:val="Compact"/>
            </w:pPr>
            <w:r>
              <w:t xml:space="preserve">Storm costs, normal weather assumptions, parent financing costs, higher average share count</w:t>
            </w:r>
          </w:p>
        </w:tc>
      </w:tr>
      <w:tr>
        <w:tc>
          <w:tcPr/>
          <w:p>
            <w:pPr>
              <w:pStyle w:val="Compact"/>
            </w:pPr>
            <w:r>
              <w:rPr>
                <w:b/>
                <w:bCs/>
              </w:rPr>
              <w:t xml:space="preserve">2026 planned equity issuance</w:t>
            </w:r>
          </w:p>
        </w:tc>
        <w:tc>
          <w:tcPr/>
          <w:p>
            <w:pPr>
              <w:pStyle w:val="Compact"/>
            </w:pPr>
            <w:r>
              <w:t xml:space="preserve">Approximately $700 million</w:t>
            </w:r>
          </w:p>
        </w:tc>
      </w:tr>
      <w:tr>
        <w:tc>
          <w:tcPr/>
          <w:p>
            <w:pPr>
              <w:pStyle w:val="Compact"/>
            </w:pPr>
            <w:r>
              <w:rPr>
                <w:b/>
                <w:bCs/>
              </w:rPr>
              <w:t xml:space="preserve">Utility capital plan</w:t>
            </w:r>
          </w:p>
        </w:tc>
        <w:tc>
          <w:tcPr/>
          <w:p>
            <w:pPr>
              <w:pStyle w:val="Compact"/>
            </w:pPr>
            <w:r>
              <w:t xml:space="preserve">$24 billion for 2026–2030</w:t>
            </w:r>
          </w:p>
        </w:tc>
      </w:tr>
      <w:tr>
        <w:tc>
          <w:tcPr/>
          <w:p>
            <w:pPr>
              <w:pStyle w:val="Compact"/>
            </w:pPr>
            <w:r>
              <w:rPr>
                <w:b/>
                <w:bCs/>
              </w:rPr>
              <w:t xml:space="preserve">Key regulatory catalyst</w:t>
            </w:r>
          </w:p>
        </w:tc>
        <w:tc>
          <w:tcPr/>
          <w:p>
            <w:pPr>
              <w:pStyle w:val="Compact"/>
            </w:pPr>
            <w:r>
              <w:t xml:space="preserve">Gas-rate-case decision process expected to advance in 3Q</w:t>
            </w:r>
          </w:p>
        </w:tc>
      </w:tr>
      <w:tr>
        <w:tc>
          <w:tcPr/>
          <w:p>
            <w:pPr>
              <w:pStyle w:val="Compact"/>
            </w:pPr>
            <w:r>
              <w:rPr>
                <w:b/>
                <w:bCs/>
              </w:rPr>
              <w:t xml:space="preserve">Strategic upside</w:t>
            </w:r>
          </w:p>
        </w:tc>
        <w:tc>
          <w:tcPr/>
          <w:p>
            <w:pPr>
              <w:pStyle w:val="Compact"/>
            </w:pPr>
            <w:r>
              <w:t xml:space="preserve">Large-load/data-center conversion and incremental capital investment</w:t>
            </w:r>
          </w:p>
        </w:tc>
      </w:tr>
    </w:tbl>
    <w:p>
      <w:r>
        <w:pict>
          <v:rect style="width:0;height:1.5pt" o:hralign="center" o:hrstd="t" o:hr="t"/>
        </w:pict>
      </w:r>
    </w:p>
    <w:bookmarkEnd w:id="16"/>
    <w:bookmarkStart w:id="17" w:name="stock-setup-and-investor-expectations"/>
    <w:p>
      <w:pPr>
        <w:pStyle w:val="Heading2"/>
      </w:pPr>
      <w:r>
        <w:t xml:space="preserve">Stock setup and investor expectations</w:t>
      </w:r>
    </w:p>
    <w:p>
      <w:pPr>
        <w:pStyle w:val="FirstParagraph"/>
      </w:pPr>
      <w:r>
        <w:t xml:space="preserve">CMS closed July 27 at</w:t>
      </w:r>
      <w:r>
        <w:t xml:space="preserve"> </w:t>
      </w:r>
      <w:r>
        <w:rPr>
          <w:b/>
          <w:bCs/>
        </w:rPr>
        <w:t xml:space="preserve">$74.29</w:t>
      </w:r>
      <w:r>
        <w:t xml:space="preserve">. The stock was up about</w:t>
      </w:r>
      <w:r>
        <w:t xml:space="preserve"> </w:t>
      </w:r>
      <w:r>
        <w:rPr>
          <w:b/>
          <w:bCs/>
        </w:rPr>
        <w:t xml:space="preserve">5.5% year to date</w:t>
      </w:r>
      <w:r>
        <w:t xml:space="preserve">, broadly in line with the Utilities Select Sector SPDR’s roughly</w:t>
      </w:r>
      <w:r>
        <w:t xml:space="preserve"> </w:t>
      </w:r>
      <w:r>
        <w:rPr>
          <w:b/>
          <w:bCs/>
        </w:rPr>
        <w:t xml:space="preserve">5.8%</w:t>
      </w:r>
      <w:r>
        <w:t xml:space="preserve"> </w:t>
      </w:r>
      <w:r>
        <w:t xml:space="preserve">gain, but remained about</w:t>
      </w:r>
      <w:r>
        <w:t xml:space="preserve"> </w:t>
      </w:r>
      <w:r>
        <w:rPr>
          <w:b/>
          <w:bCs/>
        </w:rPr>
        <w:t xml:space="preserve">7.1% below</w:t>
      </w:r>
      <w:r>
        <w:t xml:space="preserve"> </w:t>
      </w:r>
      <w:r>
        <w:t xml:space="preserve">its April 9 high of $79.94.</w:t>
      </w:r>
    </w:p>
    <w:p>
      <w:pPr>
        <w:pStyle w:val="BodyText"/>
      </w:pPr>
      <w:r>
        <w:t xml:space="preserve">That positioning suggests the market is not pricing CMS as a pure data-center winner. Rather, it is balancing the company’s durable regulated growth profile against concerns over capital intensity, dilution, storm exposure, and credit metrics.</w:t>
      </w:r>
    </w:p>
    <w:p>
      <w:pPr>
        <w:pStyle w:val="BodyText"/>
      </w:pPr>
      <w:r>
        <w:t xml:space="preserve">The current annual dividend rate of</w:t>
      </w:r>
      <w:r>
        <w:t xml:space="preserve"> </w:t>
      </w:r>
      <w:r>
        <w:rPr>
          <w:b/>
          <w:bCs/>
        </w:rPr>
        <w:t xml:space="preserve">$2.28 per share</w:t>
      </w:r>
      <w:r>
        <w:t xml:space="preserve"> </w:t>
      </w:r>
      <w:r>
        <w:t xml:space="preserve">implies a yield of roughly</w:t>
      </w:r>
      <w:r>
        <w:t xml:space="preserve"> </w:t>
      </w:r>
      <w:r>
        <w:rPr>
          <w:b/>
          <w:bCs/>
        </w:rPr>
        <w:t xml:space="preserve">3.1%</w:t>
      </w:r>
      <w:r>
        <w:t xml:space="preserve"> </w:t>
      </w:r>
      <w:r>
        <w:t xml:space="preserve">at the July 27 closing price. The dividend remains an important component of the investment case, alongside CMS’s stated long-term adjusted-EPS growth objective of 6%–8%.</w:t>
      </w:r>
    </w:p>
    <w:p>
      <w:r>
        <w:pict>
          <v:rect style="width:0;height:1.5pt" o:hralign="center" o:hrstd="t" o:hr="t"/>
        </w:pict>
      </w:r>
    </w:p>
    <w:bookmarkEnd w:id="17"/>
    <w:bookmarkStart w:id="18" w:name="bull-case-for-the-print"/>
    <w:p>
      <w:pPr>
        <w:pStyle w:val="Heading2"/>
      </w:pPr>
      <w:r>
        <w:t xml:space="preserve">Bull case for the print</w:t>
      </w:r>
    </w:p>
    <w:p>
      <w:pPr>
        <w:pStyle w:val="FirstParagraph"/>
      </w:pPr>
      <w:r>
        <w:t xml:space="preserve">A favorable report would include:</w:t>
      </w:r>
    </w:p>
    <w:p>
      <w:pPr>
        <w:pStyle w:val="Compact"/>
        <w:numPr>
          <w:ilvl w:val="0"/>
          <w:numId w:val="1007"/>
        </w:numPr>
      </w:pPr>
      <w:r>
        <w:t xml:space="preserve">Reaffirmed 2026 guidance with continued confidence toward the high end.</w:t>
      </w:r>
    </w:p>
    <w:p>
      <w:pPr>
        <w:pStyle w:val="Compact"/>
        <w:numPr>
          <w:ilvl w:val="0"/>
          <w:numId w:val="1007"/>
        </w:numPr>
      </w:pPr>
      <w:r>
        <w:t xml:space="preserve">2Q adjusted EPS growth versus the $0.71 earned in 2Q25.</w:t>
      </w:r>
    </w:p>
    <w:p>
      <w:pPr>
        <w:pStyle w:val="Compact"/>
        <w:numPr>
          <w:ilvl w:val="0"/>
          <w:numId w:val="1007"/>
        </w:numPr>
      </w:pPr>
      <w:r>
        <w:t xml:space="preserve">Confirmation that storm costs, O&amp;M, and financing dilution remain within the original plan.</w:t>
      </w:r>
    </w:p>
    <w:p>
      <w:pPr>
        <w:pStyle w:val="Compact"/>
        <w:numPr>
          <w:ilvl w:val="0"/>
          <w:numId w:val="1007"/>
        </w:numPr>
      </w:pPr>
      <w:r>
        <w:t xml:space="preserve">A constructive update on the gas rate case.</w:t>
      </w:r>
    </w:p>
    <w:p>
      <w:pPr>
        <w:pStyle w:val="Compact"/>
        <w:numPr>
          <w:ilvl w:val="0"/>
          <w:numId w:val="1007"/>
        </w:numPr>
      </w:pPr>
      <w:r>
        <w:t xml:space="preserve">Evidence of further progress on executed large-load contracts, zoning, or interconnection.</w:t>
      </w:r>
    </w:p>
    <w:p>
      <w:pPr>
        <w:pStyle w:val="Compact"/>
        <w:numPr>
          <w:ilvl w:val="0"/>
          <w:numId w:val="1007"/>
        </w:numPr>
      </w:pPr>
      <w:r>
        <w:t xml:space="preserve">Clear commentary that Moody’s concerns are manageable without compromising the capital plan or dividend-growth trajectory.</w:t>
      </w:r>
    </w:p>
    <w:p>
      <w:pPr>
        <w:pStyle w:val="Compact"/>
        <w:numPr>
          <w:ilvl w:val="0"/>
          <w:numId w:val="1007"/>
        </w:numPr>
      </w:pPr>
      <w:r>
        <w:t xml:space="preserve">No increase to 2026 equity needs.</w:t>
      </w:r>
    </w:p>
    <w:bookmarkEnd w:id="18"/>
    <w:bookmarkStart w:id="19" w:name="bear-case-for-the-print"/>
    <w:p>
      <w:pPr>
        <w:pStyle w:val="Heading2"/>
      </w:pPr>
      <w:r>
        <w:t xml:space="preserve">Bear case for the print</w:t>
      </w:r>
    </w:p>
    <w:p>
      <w:pPr>
        <w:pStyle w:val="FirstParagraph"/>
      </w:pPr>
      <w:r>
        <w:t xml:space="preserve">The report would disappoint if it shows:</w:t>
      </w:r>
    </w:p>
    <w:p>
      <w:pPr>
        <w:pStyle w:val="Compact"/>
        <w:numPr>
          <w:ilvl w:val="0"/>
          <w:numId w:val="1008"/>
        </w:numPr>
      </w:pPr>
      <w:r>
        <w:t xml:space="preserve">A retreat from “high-end” guidance confidence, even if the formal range is maintained.</w:t>
      </w:r>
    </w:p>
    <w:p>
      <w:pPr>
        <w:pStyle w:val="Compact"/>
        <w:numPr>
          <w:ilvl w:val="0"/>
          <w:numId w:val="1008"/>
        </w:numPr>
      </w:pPr>
      <w:r>
        <w:t xml:space="preserve">Storm restoration or O&amp;M costs that erase expected rate-relief benefits.</w:t>
      </w:r>
    </w:p>
    <w:p>
      <w:pPr>
        <w:pStyle w:val="Compact"/>
        <w:numPr>
          <w:ilvl w:val="0"/>
          <w:numId w:val="1008"/>
        </w:numPr>
      </w:pPr>
      <w:r>
        <w:t xml:space="preserve">Incremental equity needs, greater-than-expected dilution, or reduced cash-flow/credit flexibility.</w:t>
      </w:r>
    </w:p>
    <w:p>
      <w:pPr>
        <w:pStyle w:val="Compact"/>
        <w:numPr>
          <w:ilvl w:val="0"/>
          <w:numId w:val="1008"/>
        </w:numPr>
      </w:pPr>
      <w:r>
        <w:t xml:space="preserve">A weaker outlook for the gas case or a more difficult affordability/political backdrop.</w:t>
      </w:r>
    </w:p>
    <w:p>
      <w:pPr>
        <w:pStyle w:val="Compact"/>
        <w:numPr>
          <w:ilvl w:val="0"/>
          <w:numId w:val="1008"/>
        </w:numPr>
      </w:pPr>
      <w:r>
        <w:t xml:space="preserve">Further slippage in data-center permitting, contracting, or expected load timing.</w:t>
      </w:r>
    </w:p>
    <w:p>
      <w:pPr>
        <w:pStyle w:val="Compact"/>
        <w:numPr>
          <w:ilvl w:val="0"/>
          <w:numId w:val="1008"/>
        </w:numPr>
      </w:pPr>
      <w:r>
        <w:t xml:space="preserve">Evidence that the large renewable and grid investment program is becoming more difficult to finance or recover in rates.</w:t>
      </w:r>
    </w:p>
    <w:p>
      <w:r>
        <w:pict>
          <v:rect style="width:0;height:1.5pt" o:hralign="center" o:hrstd="t" o:hr="t"/>
        </w:pict>
      </w:r>
    </w:p>
    <w:bookmarkEnd w:id="19"/>
    <w:bookmarkStart w:id="20" w:name="key-questions-for-management"/>
    <w:p>
      <w:pPr>
        <w:pStyle w:val="Heading2"/>
      </w:pPr>
      <w:r>
        <w:t xml:space="preserve">Key questions for management</w:t>
      </w:r>
    </w:p>
    <w:p>
      <w:pPr>
        <w:pStyle w:val="Compact"/>
        <w:numPr>
          <w:ilvl w:val="0"/>
          <w:numId w:val="1009"/>
        </w:numPr>
      </w:pPr>
      <w:r>
        <w:rPr>
          <w:b/>
          <w:bCs/>
        </w:rPr>
        <w:t xml:space="preserve">What specifically supports confidence toward the high end of 2026 guidance after the second quarter?</w:t>
      </w:r>
    </w:p>
    <w:p>
      <w:pPr>
        <w:pStyle w:val="Compact"/>
        <w:numPr>
          <w:ilvl w:val="0"/>
          <w:numId w:val="1009"/>
        </w:numPr>
      </w:pPr>
      <w:r>
        <w:rPr>
          <w:b/>
          <w:bCs/>
        </w:rPr>
        <w:t xml:space="preserve">How much of the planned $700 million 2026 equity issuance remains to be completed, and have expected financing needs changed?</w:t>
      </w:r>
    </w:p>
    <w:p>
      <w:pPr>
        <w:pStyle w:val="Compact"/>
        <w:numPr>
          <w:ilvl w:val="0"/>
          <w:numId w:val="1009"/>
        </w:numPr>
      </w:pPr>
      <w:r>
        <w:rPr>
          <w:b/>
          <w:bCs/>
        </w:rPr>
        <w:t xml:space="preserve">What remedies or financial actions are being considered to address Moody’s negative outlook at Consumers Energy?</w:t>
      </w:r>
    </w:p>
    <w:p>
      <w:pPr>
        <w:pStyle w:val="Compact"/>
        <w:numPr>
          <w:ilvl w:val="0"/>
          <w:numId w:val="1009"/>
        </w:numPr>
      </w:pPr>
      <w:r>
        <w:rPr>
          <w:b/>
          <w:bCs/>
        </w:rPr>
        <w:t xml:space="preserve">Has the gas-rate-case outlook changed since staff supported roughly three-quarters of the requested increase?</w:t>
      </w:r>
    </w:p>
    <w:p>
      <w:pPr>
        <w:pStyle w:val="Compact"/>
        <w:numPr>
          <w:ilvl w:val="0"/>
          <w:numId w:val="1009"/>
        </w:numPr>
      </w:pPr>
      <w:r>
        <w:rPr>
          <w:b/>
          <w:bCs/>
        </w:rPr>
        <w:t xml:space="preserve">What has changed in the data-center pipeline: signed contracts, local approvals, interconnection needs, capital commitments, and expected in-service dates?</w:t>
      </w:r>
    </w:p>
    <w:p>
      <w:pPr>
        <w:pStyle w:val="Compact"/>
        <w:numPr>
          <w:ilvl w:val="0"/>
          <w:numId w:val="1009"/>
        </w:numPr>
      </w:pPr>
      <w:r>
        <w:rPr>
          <w:b/>
          <w:bCs/>
        </w:rPr>
        <w:t xml:space="preserve">How does CMS intend to ensure major new-load customers pay their full system costs and improve—rather than pressure—residential affordability?</w:t>
      </w:r>
    </w:p>
    <w:p>
      <w:pPr>
        <w:pStyle w:val="Compact"/>
        <w:numPr>
          <w:ilvl w:val="0"/>
          <w:numId w:val="1009"/>
        </w:numPr>
      </w:pPr>
      <w:r>
        <w:rPr>
          <w:b/>
          <w:bCs/>
        </w:rPr>
        <w:t xml:space="preserve">What is the updated earnings outlook for NorthStar Clean Energy, including renewable-project milestones and Dearborn Industrial Generation recontracting?</w:t>
      </w:r>
    </w:p>
    <w:p>
      <w:r>
        <w:pict>
          <v:rect style="width:0;height:1.5pt" o:hralign="center" o:hrstd="t" o:hr="t"/>
        </w:pict>
      </w:r>
    </w:p>
    <w:bookmarkEnd w:id="20"/>
    <w:bookmarkStart w:id="21" w:name="investment-conclusion"/>
    <w:p>
      <w:pPr>
        <w:pStyle w:val="Heading2"/>
      </w:pPr>
      <w:r>
        <w:t xml:space="preserve">Investment conclusion</w:t>
      </w:r>
    </w:p>
    <w:p>
      <w:pPr>
        <w:pStyle w:val="FirstParagraph"/>
      </w:pPr>
      <w:r>
        <w:t xml:space="preserve">CMS is a</w:t>
      </w:r>
      <w:r>
        <w:t xml:space="preserve"> </w:t>
      </w:r>
      <w:r>
        <w:rPr>
          <w:b/>
          <w:bCs/>
        </w:rPr>
        <w:t xml:space="preserve">quality regulated-growth story with a credible capital runway</w:t>
      </w:r>
      <w:r>
        <w:t xml:space="preserve">, but this earnings report is primarily a test of execution and funding discipline rather than a binary quarterly EPS event.</w:t>
      </w:r>
    </w:p>
    <w:p>
      <w:pPr>
        <w:pStyle w:val="BodyText"/>
      </w:pPr>
      <w:r>
        <w:t xml:space="preserve">The base case is a guidance reaffirmation supported by rate relief, ongoing capital deployment, and cost-management initiatives. The upside scenario requires more: tangible data-center conversion, stronger visibility on future load growth, and confidence that funding requirements and the Moody’s outlook remain controllable.</w:t>
      </w:r>
    </w:p>
    <w:p>
      <w:pPr>
        <w:pStyle w:val="BodyText"/>
      </w:pPr>
      <w:r>
        <w:t xml:space="preserve">For investors, the most valuable outcome would be confirmation that CMS can turn its large-load pipeline into incremental regulated investment</w:t>
      </w:r>
      <w:r>
        <w:t xml:space="preserve"> </w:t>
      </w:r>
      <w:r>
        <w:rPr>
          <w:b/>
          <w:bCs/>
        </w:rPr>
        <w:t xml:space="preserve">without sacrificing credit quality, shareholder returns, or customer affordability</w:t>
      </w:r>
      <w:r>
        <w:t xml:space="preserv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www.michigan.gov/mpsc/commission/news-releases/2026/06/11/commission-approves-consumers-energy-co-solar-contracts?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www.michigan.gov/mpsc/commission/news-releases/2026/06/11/commission-approves-consumers-energy-co-solar-contrac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2026-07-28T00:46:55Z</dcterms:created>
  <dcterms:modified xsi:type="dcterms:W3CDTF">2026-07-28T00:46:55Z</dcterms:modified>
</cp:coreProperties>
</file>

<file path=docProps/custom.xml><?xml version="1.0" encoding="utf-8"?>
<Properties xmlns="http://schemas.openxmlformats.org/officeDocument/2006/custom-properties" xmlns:vt="http://schemas.openxmlformats.org/officeDocument/2006/docPropsVTypes"/>
</file>