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CMS Energy Corporation (NYSE: CMS)</w:t>
      </w:r>
    </w:p>
    <w:p>
      <w:pPr>
        <w:pStyle w:val="Heading2"/>
      </w:pPr>
      <w:r>
        <w:rPr>
          <w:rFonts w:ascii="Calibri" w:hAnsi="Calibri"/>
          <w:b/>
          <w:color w:val="3B4259"/>
          <w:sz w:val="28"/>
        </w:rPr>
        <w:t>Earnings Preview — Q2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Earnings Date</w:t>
            </w:r>
          </w:p>
        </w:tc>
        <w:tc>
          <w:tcPr>
            <w:tcW w:type="dxa" w:w="2160"/>
          </w:tcPr>
          <w:p>
            <w:r>
              <w:rPr>
                <w:rFonts w:ascii="Calibri" w:hAnsi="Calibri"/>
                <w:sz w:val="22"/>
              </w:rPr>
              <w:t>July 28, 2026 (Before Market Open)</w:t>
            </w:r>
          </w:p>
        </w:tc>
        <w:tc>
          <w:tcPr>
            <w:tcW w:type="dxa" w:w="2160"/>
          </w:tcPr>
          <w:p>
            <w:r>
              <w:rPr>
                <w:rFonts w:ascii="Calibri" w:hAnsi="Calibri"/>
                <w:b/>
                <w:sz w:val="22"/>
              </w:rPr>
              <w:t>Prepared Date</w:t>
            </w:r>
          </w:p>
        </w:tc>
        <w:tc>
          <w:tcPr>
            <w:tcW w:type="dxa" w:w="2160"/>
          </w:tcPr>
          <w:p>
            <w:r>
              <w:rPr>
                <w:rFonts w:ascii="Calibri" w:hAnsi="Calibri"/>
                <w:sz w:val="22"/>
              </w:rPr>
              <w:t>July 27, 2026</w:t>
            </w:r>
          </w:p>
        </w:tc>
      </w:tr>
      <w:tr>
        <w:tc>
          <w:tcPr>
            <w:tcW w:type="dxa" w:w="2160"/>
          </w:tcPr>
          <w:p>
            <w:r>
              <w:rPr>
                <w:rFonts w:ascii="Calibri" w:hAnsi="Calibri"/>
                <w:b/>
                <w:sz w:val="22"/>
              </w:rPr>
              <w:t>Reporting Period</w:t>
            </w:r>
          </w:p>
        </w:tc>
        <w:tc>
          <w:tcPr>
            <w:tcW w:type="dxa" w:w="2160"/>
          </w:tcPr>
          <w:p>
            <w:r>
              <w:rPr>
                <w:rFonts w:ascii="Calibri" w:hAnsi="Calibri"/>
                <w:sz w:val="22"/>
              </w:rPr>
              <w:t>Q2 2026 (June 30, 2026)</w:t>
            </w:r>
          </w:p>
        </w:tc>
        <w:tc>
          <w:tcPr>
            <w:tcW w:type="dxa" w:w="2160"/>
          </w:tcPr>
          <w:p>
            <w:r>
              <w:rPr>
                <w:rFonts w:ascii="Calibri" w:hAnsi="Calibri"/>
                <w:b/>
                <w:sz w:val="22"/>
              </w:rPr>
              <w:t>Sector / ETF Benchmark</w:t>
            </w:r>
          </w:p>
        </w:tc>
        <w:tc>
          <w:tcPr>
            <w:tcW w:type="dxa" w:w="2160"/>
          </w:tcPr>
          <w:p>
            <w:r>
              <w:rPr>
                <w:rFonts w:ascii="Calibri" w:hAnsi="Calibri"/>
                <w:sz w:val="22"/>
              </w:rPr>
              <w:t>Regulated Electric Utilities / XLU</w:t>
            </w:r>
          </w:p>
        </w:tc>
      </w:tr>
      <w:tr>
        <w:tc>
          <w:tcPr>
            <w:tcW w:type="dxa" w:w="2160"/>
          </w:tcPr>
          <w:p>
            <w:r>
              <w:rPr>
                <w:rFonts w:ascii="Calibri" w:hAnsi="Calibri"/>
                <w:b/>
                <w:sz w:val="22"/>
              </w:rPr>
              <w:t>Conference Call</w:t>
            </w:r>
          </w:p>
        </w:tc>
        <w:tc>
          <w:tcPr>
            <w:tcW w:type="dxa" w:w="2160"/>
          </w:tcPr>
          <w:p>
            <w:r>
              <w:rPr>
                <w:rFonts w:ascii="Calibri" w:hAnsi="Calibri"/>
                <w:sz w:val="22"/>
              </w:rPr>
              <w:t>July 28, 2026 at 10:00 AM ET</w:t>
            </w:r>
          </w:p>
        </w:tc>
        <w:tc>
          <w:tcPr>
            <w:tcW w:type="dxa" w:w="2160"/>
          </w:tcPr>
          <w:p>
            <w:r>
              <w:rPr>
                <w:rFonts w:ascii="Calibri" w:hAnsi="Calibri"/>
                <w:b/>
                <w:sz w:val="22"/>
              </w:rPr>
              <w:t>Primary Valuation KPI</w:t>
            </w:r>
          </w:p>
        </w:tc>
        <w:tc>
          <w:tcPr>
            <w:tcW w:type="dxa" w:w="2160"/>
          </w:tcPr>
          <w:p>
            <w:r>
              <w:rPr>
                <w:rFonts w:ascii="Calibri" w:hAnsi="Calibri"/>
                <w:sz w:val="22"/>
              </w:rPr>
              <w:t>Adjusted EPS (P/E)</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Q2 2026 setup is a </w:t>
      </w:r>
      <w:r>
        <w:rPr>
          <w:rFonts w:ascii="Calibri" w:hAnsi="Calibri"/>
          <w:b/>
          <w:color w:val="525866"/>
          <w:sz w:val="22"/>
        </w:rPr>
        <w:t>low-bar beat</w:t>
      </w:r>
      <w:r>
        <w:rPr>
          <w:rFonts w:ascii="Calibri" w:hAnsi="Calibri"/>
          <w:color w:val="525866"/>
          <w:sz w:val="22"/>
        </w:rPr>
        <w:t xml:space="preserve"> — consensus has been aggressively cut to ~$0.36–$0.41 on adverse weather and storm costs, well below the $0.72 reported in Q2 2025, making the hurdle easy to clear; the bigger swing factor is any update on </w:t>
      </w:r>
      <w:r>
        <w:rPr>
          <w:rFonts w:ascii="Calibri" w:hAnsi="Calibri"/>
          <w:b/>
          <w:color w:val="525866"/>
          <w:sz w:val="22"/>
        </w:rPr>
        <w:t>NorthStar disposition</w:t>
      </w:r>
      <w:r>
        <w:rPr>
          <w:rFonts w:ascii="Calibri" w:hAnsi="Calibri"/>
          <w:color w:val="525866"/>
          <w:sz w:val="22"/>
        </w:rPr>
        <w:t xml:space="preserve"> and </w:t>
      </w:r>
      <w:r>
        <w:rPr>
          <w:rFonts w:ascii="Calibri" w:hAnsi="Calibri"/>
          <w:b/>
          <w:color w:val="525866"/>
          <w:sz w:val="22"/>
        </w:rPr>
        <w:t>data center contracting progress</w:t>
      </w:r>
      <w:r>
        <w:rPr>
          <w:rFonts w:ascii="Calibri" w:hAnsi="Calibri"/>
          <w:color w:val="525866"/>
          <w:sz w:val="22"/>
        </w:rPr>
        <w:t>.</w:t>
      </w:r>
    </w:p>
    <w:p>
      <w:r>
        <w:rPr>
          <w:rFonts w:ascii="Calibri" w:hAnsi="Calibri"/>
          <w:color w:val="525866"/>
          <w:sz w:val="22"/>
        </w:rPr>
        <w:t xml:space="preserve">Heading into the Q2 2026 print, the bar for CMS Energy is unusually low: consensus adjusted EPS has been slashed to roughly $0.36–$0.41 (vs. $0.72 actual in Q2 2025) as analysts price in a tough weather comparison and elevated storm-related O&amp;M costs — a dynamic management flagged as transitory and timing-driven. The full-year 2026 guidance of $3.83–$3.90 (with confidence toward the high end) remains intact, and the second half is expected to benefit from the constructive March electric rate order and an assumed constructive gas rate case outcome, providing a clear path to full-year delivery. Estimate revisions have moved sharply lower for Q2 in isolation but have been relatively stable for the full year, suggesting the Street is treating the Q2 weakness as a pass-through rather than a structural miss — a setup that historically favors CMS given its 20+ year track record of delivering at the high end of guidance. The stock has drifted ~1.6% lower since the Q1 print (vs. XLU essentially flat), trading in the low-to-mid $70s and at a modest discount to its recent range, implying the market has already absorbed the weak Q2 and is looking through to H2 execution. The single biggest wildcard is any concrete update on the </w:t>
      </w:r>
      <w:r>
        <w:rPr>
          <w:rFonts w:ascii="Calibri" w:hAnsi="Calibri"/>
          <w:b/>
          <w:color w:val="525866"/>
          <w:sz w:val="22"/>
        </w:rPr>
        <w:t>NorthStar Clean Energy disposition</w:t>
      </w:r>
      <w:r>
        <w:rPr>
          <w:rFonts w:ascii="Calibri" w:hAnsi="Calibri"/>
          <w:color w:val="525866"/>
          <w:sz w:val="22"/>
        </w:rPr>
        <w:t xml:space="preserve"> (industry reports suggest a potential sale is under consideration) and progress on finalizing contracts with the two hyperscaler data centers in advanced negotiations — either development could be a meaningful positive catalyst for the stock.</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very low bar for Q2</w:t>
      </w:r>
      <w:r>
        <w:rPr>
          <w:rFonts w:ascii="Calibri" w:hAnsi="Calibri"/>
          <w:color w:val="525866"/>
          <w:sz w:val="22"/>
        </w:rPr>
        <w:t xml:space="preserve"> — adjusted EPS estimates have been cut ~50% vs. the prior-year quarter on weather/storm headwinds, making a beat highly likely; the bigger swing factor is the full-year EPS trajectory and any data center or NorthStar news that could re-rate the stock.</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Adjusted EPS ($)</w:t>
            </w:r>
          </w:p>
        </w:tc>
        <w:tc>
          <w:tcPr>
            <w:tcW w:type="dxa" w:w="1234"/>
          </w:tcPr>
          <w:p>
            <w:r>
              <w:rPr>
                <w:rFonts w:ascii="Calibri" w:hAnsi="Calibri"/>
                <w:sz w:val="22"/>
              </w:rPr>
              <w:t>$1.13</w:t>
            </w:r>
          </w:p>
        </w:tc>
        <w:tc>
          <w:tcPr>
            <w:tcW w:type="dxa" w:w="1234"/>
          </w:tcPr>
          <w:p>
            <w:r>
              <w:rPr>
                <w:rFonts w:ascii="Calibri" w:hAnsi="Calibri"/>
                <w:sz w:val="22"/>
              </w:rPr>
              <w:t>$0.72</w:t>
            </w:r>
          </w:p>
        </w:tc>
        <w:tc>
          <w:tcPr>
            <w:tcW w:type="dxa" w:w="1234"/>
          </w:tcPr>
          <w:p>
            <w:r>
              <w:rPr>
                <w:rFonts w:ascii="Calibri" w:hAnsi="Calibri"/>
                <w:sz w:val="22"/>
              </w:rPr>
              <w:t>~$0.36–$0.41</w:t>
            </w:r>
          </w:p>
        </w:tc>
        <w:tc>
          <w:tcPr>
            <w:tcW w:type="dxa" w:w="1234"/>
          </w:tcPr>
          <w:p>
            <w:r>
              <w:rPr>
                <w:rFonts w:ascii="Calibri" w:hAnsi="Calibri"/>
                <w:b/>
                <w:color w:val="E5484D"/>
                <w:sz w:val="22"/>
              </w:rPr>
              <w:t>−49–50%</w:t>
            </w:r>
          </w:p>
        </w:tc>
        <w:tc>
          <w:tcPr>
            <w:tcW w:type="dxa" w:w="1234"/>
          </w:tcPr>
          <w:p>
            <w:r>
              <w:rPr>
                <w:rFonts w:ascii="Calibri" w:hAnsi="Calibri"/>
                <w:sz w:val="22"/>
              </w:rPr>
              <w:t>$3.83–$3.90</w:t>
            </w:r>
          </w:p>
        </w:tc>
        <w:tc>
          <w:tcPr>
            <w:tcW w:type="dxa" w:w="1234"/>
          </w:tcPr>
          <w:p>
            <w:r>
              <w:rPr>
                <w:rFonts w:ascii="Calibri" w:hAnsi="Calibri"/>
                <w:b/>
                <w:color w:val="30A46C"/>
                <w:sz w:val="22"/>
              </w:rPr>
              <w:t>FY cons. $3.93 vs. midpoint $3.865 = +1.7%</w:t>
            </w:r>
          </w:p>
        </w:tc>
      </w:tr>
      <w:tr>
        <w:tc>
          <w:tcPr>
            <w:tcW w:type="dxa" w:w="1234"/>
          </w:tcPr>
          <w:p>
            <w:r>
              <w:rPr>
                <w:rFonts w:ascii="Calibri" w:hAnsi="Calibri"/>
                <w:sz w:val="22"/>
              </w:rPr>
              <w:t>Operating Revenue ($B)</w:t>
            </w:r>
          </w:p>
        </w:tc>
        <w:tc>
          <w:tcPr>
            <w:tcW w:type="dxa" w:w="1234"/>
          </w:tcPr>
          <w:p>
            <w:r>
              <w:rPr>
                <w:rFonts w:ascii="Calibri" w:hAnsi="Calibri"/>
                <w:sz w:val="22"/>
              </w:rPr>
              <w:t>$2.73B</w:t>
            </w:r>
          </w:p>
        </w:tc>
        <w:tc>
          <w:tcPr>
            <w:tcW w:type="dxa" w:w="1234"/>
          </w:tcPr>
          <w:p>
            <w:r>
              <w:rPr>
                <w:rFonts w:ascii="Calibri" w:hAnsi="Calibri"/>
                <w:sz w:val="22"/>
              </w:rPr>
              <w:t>$1.84B</w:t>
            </w:r>
          </w:p>
        </w:tc>
        <w:tc>
          <w:tcPr>
            <w:tcW w:type="dxa" w:w="1234"/>
          </w:tcPr>
          <w:p>
            <w:r>
              <w:rPr>
                <w:rFonts w:ascii="Calibri" w:hAnsi="Calibri"/>
                <w:sz w:val="22"/>
              </w:rPr>
              <w:t>$1.78B</w:t>
            </w:r>
          </w:p>
        </w:tc>
        <w:tc>
          <w:tcPr>
            <w:tcW w:type="dxa" w:w="1234"/>
          </w:tcPr>
          <w:p>
            <w:r>
              <w:rPr>
                <w:rFonts w:ascii="Calibri" w:hAnsi="Calibri"/>
                <w:b/>
                <w:color w:val="E5484D"/>
                <w:sz w:val="22"/>
              </w:rPr>
              <w:t>−3.3%</w:t>
            </w:r>
          </w:p>
        </w:tc>
        <w:tc>
          <w:tcPr>
            <w:tcW w:type="dxa" w:w="1234"/>
          </w:tcPr>
          <w:p>
            <w:r>
              <w:rPr>
                <w:rFonts w:ascii="Calibri" w:hAnsi="Calibri"/>
                <w:sz w:val="22"/>
              </w:rPr>
              <w:t>N/A (no quarterly rev. guidance)</w:t>
            </w:r>
          </w:p>
        </w:tc>
        <w:tc>
          <w:tcPr>
            <w:tcW w:type="dxa" w:w="1234"/>
          </w:tcPr>
          <w:p>
            <w:r>
              <w:rPr>
                <w:rFonts w:ascii="Calibri" w:hAnsi="Calibri"/>
                <w:sz w:val="22"/>
              </w:rPr>
              <w:t>FY cons. $9.01B vs. FY 2026 plan</w:t>
            </w:r>
          </w:p>
        </w:tc>
      </w:tr>
      <w:tr>
        <w:tc>
          <w:tcPr>
            <w:tcW w:type="dxa" w:w="1234"/>
          </w:tcPr>
          <w:p>
            <w:r>
              <w:rPr>
                <w:rFonts w:ascii="Calibri" w:hAnsi="Calibri"/>
                <w:sz w:val="22"/>
              </w:rPr>
              <w:t>Capital Expenditures ($B)</w:t>
            </w:r>
          </w:p>
        </w:tc>
        <w:tc>
          <w:tcPr>
            <w:tcW w:type="dxa" w:w="1234"/>
          </w:tcPr>
          <w:p>
            <w:r>
              <w:rPr>
                <w:rFonts w:ascii="Calibri" w:hAnsi="Calibri"/>
                <w:sz w:val="22"/>
              </w:rPr>
              <w:t>$1.04B</w:t>
            </w:r>
          </w:p>
        </w:tc>
        <w:tc>
          <w:tcPr>
            <w:tcW w:type="dxa" w:w="1234"/>
          </w:tcPr>
          <w:p>
            <w:r>
              <w:rPr>
                <w:rFonts w:ascii="Calibri" w:hAnsi="Calibri"/>
                <w:sz w:val="22"/>
              </w:rPr>
              <w:t>$0.88B</w:t>
            </w:r>
          </w:p>
        </w:tc>
        <w:tc>
          <w:tcPr>
            <w:tcW w:type="dxa" w:w="1234"/>
          </w:tcPr>
          <w:p>
            <w:r>
              <w:rPr>
                <w:rFonts w:ascii="Calibri" w:hAnsi="Calibri"/>
                <w:sz w:val="22"/>
              </w:rPr>
              <w:t>$1.06B</w:t>
            </w:r>
          </w:p>
        </w:tc>
        <w:tc>
          <w:tcPr>
            <w:tcW w:type="dxa" w:w="1234"/>
          </w:tcPr>
          <w:p>
            <w:r>
              <w:rPr>
                <w:rFonts w:ascii="Calibri" w:hAnsi="Calibri"/>
                <w:b/>
                <w:color w:val="30A46C"/>
                <w:sz w:val="22"/>
              </w:rPr>
              <w:t>+20.5%</w:t>
            </w:r>
          </w:p>
        </w:tc>
        <w:tc>
          <w:tcPr>
            <w:tcW w:type="dxa" w:w="1234"/>
          </w:tcPr>
          <w:p>
            <w:r>
              <w:rPr>
                <w:rFonts w:ascii="Calibri" w:hAnsi="Calibri"/>
                <w:sz w:val="22"/>
              </w:rPr>
              <w:t>~$4.3B FY 2026</w:t>
            </w:r>
          </w:p>
        </w:tc>
        <w:tc>
          <w:tcPr>
            <w:tcW w:type="dxa" w:w="1234"/>
          </w:tcPr>
          <w:p>
            <w:r>
              <w:rPr>
                <w:rFonts w:ascii="Calibri" w:hAnsi="Calibri"/>
                <w:sz w:val="22"/>
              </w:rPr>
              <w:t>FY cons. $4.30B vs. plan ≈ in-line</w:t>
            </w:r>
          </w:p>
        </w:tc>
      </w:tr>
      <w:tr>
        <w:tc>
          <w:tcPr>
            <w:tcW w:type="dxa" w:w="1234"/>
          </w:tcPr>
          <w:p>
            <w:r>
              <w:rPr>
                <w:rFonts w:ascii="Calibri" w:hAnsi="Calibri"/>
                <w:sz w:val="22"/>
              </w:rPr>
              <w:t>FFO / Total Debt (%)</w:t>
            </w:r>
          </w:p>
        </w:tc>
        <w:tc>
          <w:tcPr>
            <w:tcW w:type="dxa" w:w="1234"/>
          </w:tcPr>
          <w:p>
            <w:r>
              <w:rPr>
                <w:rFonts w:ascii="Calibri" w:hAnsi="Calibri"/>
                <w:sz w:val="22"/>
              </w:rPr>
              <w:t>13.1% (Q1 2026 actual)</w:t>
            </w:r>
          </w:p>
        </w:tc>
        <w:tc>
          <w:tcPr>
            <w:tcW w:type="dxa" w:w="1234"/>
          </w:tcPr>
          <w:p>
            <w:r>
              <w:rPr>
                <w:rFonts w:ascii="Calibri" w:hAnsi="Calibri"/>
                <w:sz w:val="22"/>
              </w:rPr>
              <w:t>12.9% (Q2 2025 actual)</w:t>
            </w:r>
          </w:p>
        </w:tc>
        <w:tc>
          <w:tcPr>
            <w:tcW w:type="dxa" w:w="1234"/>
          </w:tcPr>
          <w:p>
            <w:r>
              <w:rPr>
                <w:rFonts w:ascii="Calibri" w:hAnsi="Calibri"/>
                <w:sz w:val="22"/>
              </w:rPr>
              <w:t>~12.0% (Q2 2026 cons.)</w:t>
            </w:r>
          </w:p>
        </w:tc>
        <w:tc>
          <w:tcPr>
            <w:tcW w:type="dxa" w:w="1234"/>
          </w:tcPr>
          <w:p>
            <w:r>
              <w:rPr>
                <w:rFonts w:ascii="Calibri" w:hAnsi="Calibri"/>
                <w:sz w:val="22"/>
              </w:rPr>
              <w:t>−0.9 pp</w:t>
            </w:r>
          </w:p>
        </w:tc>
        <w:tc>
          <w:tcPr>
            <w:tcW w:type="dxa" w:w="1234"/>
          </w:tcPr>
          <w:p>
            <w:r>
              <w:rPr>
                <w:rFonts w:ascii="Calibri" w:hAnsi="Calibri"/>
                <w:sz w:val="22"/>
              </w:rPr>
              <w:t>Mid-teens target (long-term)</w:t>
            </w:r>
          </w:p>
        </w:tc>
        <w:tc>
          <w:tcPr>
            <w:tcW w:type="dxa" w:w="1234"/>
          </w:tcPr>
          <w:p>
            <w:r>
              <w:rPr>
                <w:rFonts w:ascii="Calibri" w:hAnsi="Calibri"/>
                <w:sz w:val="22"/>
              </w:rPr>
              <w:t>FY cons. 14.1% vs. mid-teens target</w:t>
            </w:r>
          </w:p>
        </w:tc>
      </w:tr>
    </w:tbl>
    <w:p>
      <w:r>
        <w:rPr>
          <w:rFonts w:ascii="Calibri" w:hAnsi="Calibri"/>
          <w:i/>
          <w:color w:val="525866"/>
          <w:sz w:val="22"/>
        </w:rPr>
        <w:t>Sources: Visible Alpha Consensus and Actuals Data; CMS Q1 2026 Earnings Call (April 28, 2026). Q2 2026 adjusted EPS consensus reflects analyst estimates from BMO (~$0.36), UBS (~$0.36), Jefferies (~$0.35), and KeyCorp (~$0.41) as of late July 2026. FY 2026 consensus EPS of $3.93 from Visible Alpha. Revenue and CapEx consensus from Visible Alpha.</w:t>
      </w:r>
    </w:p>
    <w:p>
      <w:pPr>
        <w:pStyle w:val="Heading3"/>
      </w:pPr>
      <w:r>
        <w:rPr>
          <w:rFonts w:ascii="Calibri" w:hAnsi="Calibri"/>
          <w:b/>
          <w:color w:val="3B4259"/>
          <w:sz w:val="24"/>
        </w:rPr>
        <w:t>Table 2 — Beat/Miss History (Last 8 Quarters, Adjusted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Adj. EPS ($)</w:t>
            </w:r>
          </w:p>
        </w:tc>
        <w:tc>
          <w:tcPr>
            <w:tcW w:type="dxa" w:w="1728"/>
            <w:shd w:val="clear" w:color="auto" w:fill="3B4259"/>
          </w:tcPr>
          <w:p>
            <w:r>
              <w:rPr>
                <w:rFonts w:ascii="Calibri" w:hAnsi="Calibri"/>
                <w:b/>
                <w:color w:val="FFFFFF"/>
                <w:sz w:val="22"/>
              </w:rPr>
              <w:t>Consensus Est.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$1.13</w:t>
            </w:r>
          </w:p>
        </w:tc>
        <w:tc>
          <w:tcPr>
            <w:tcW w:type="dxa" w:w="1728"/>
          </w:tcPr>
          <w:p>
            <w:r>
              <w:rPr>
                <w:rFonts w:ascii="Calibri" w:hAnsi="Calibri"/>
                <w:sz w:val="22"/>
              </w:rPr>
              <w:t>$1.09</w:t>
            </w:r>
          </w:p>
        </w:tc>
        <w:tc>
          <w:tcPr>
            <w:tcW w:type="dxa" w:w="1728"/>
          </w:tcPr>
          <w:p>
            <w:r>
              <w:rPr>
                <w:rFonts w:ascii="Calibri" w:hAnsi="Calibri"/>
                <w:b/>
                <w:color w:val="30A46C"/>
                <w:sz w:val="22"/>
              </w:rPr>
              <w:t>+3.7%</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$0.95</w:t>
            </w:r>
          </w:p>
        </w:tc>
        <w:tc>
          <w:tcPr>
            <w:tcW w:type="dxa" w:w="1728"/>
          </w:tcPr>
          <w:p>
            <w:r>
              <w:rPr>
                <w:rFonts w:ascii="Calibri" w:hAnsi="Calibri"/>
                <w:sz w:val="22"/>
              </w:rPr>
              <w:t>$0.93</w:t>
            </w:r>
          </w:p>
        </w:tc>
        <w:tc>
          <w:tcPr>
            <w:tcW w:type="dxa" w:w="1728"/>
          </w:tcPr>
          <w:p>
            <w:r>
              <w:rPr>
                <w:rFonts w:ascii="Calibri" w:hAnsi="Calibri"/>
                <w:b/>
                <w:color w:val="30A46C"/>
                <w:sz w:val="22"/>
              </w:rPr>
              <w:t>+2.2%</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$0.93</w:t>
            </w:r>
          </w:p>
        </w:tc>
        <w:tc>
          <w:tcPr>
            <w:tcW w:type="dxa" w:w="1728"/>
          </w:tcPr>
          <w:p>
            <w:r>
              <w:rPr>
                <w:rFonts w:ascii="Calibri" w:hAnsi="Calibri"/>
                <w:sz w:val="22"/>
              </w:rPr>
              <w:t>$0.88</w:t>
            </w:r>
          </w:p>
        </w:tc>
        <w:tc>
          <w:tcPr>
            <w:tcW w:type="dxa" w:w="1728"/>
          </w:tcPr>
          <w:p>
            <w:r>
              <w:rPr>
                <w:rFonts w:ascii="Calibri" w:hAnsi="Calibri"/>
                <w:b/>
                <w:color w:val="30A46C"/>
                <w:sz w:val="22"/>
              </w:rPr>
              <w:t>+5.7%</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$0.72</w:t>
            </w:r>
          </w:p>
        </w:tc>
        <w:tc>
          <w:tcPr>
            <w:tcW w:type="dxa" w:w="1728"/>
          </w:tcPr>
          <w:p>
            <w:r>
              <w:rPr>
                <w:rFonts w:ascii="Calibri" w:hAnsi="Calibri"/>
                <w:sz w:val="22"/>
              </w:rPr>
              <w:t>$0.67</w:t>
            </w:r>
          </w:p>
        </w:tc>
        <w:tc>
          <w:tcPr>
            <w:tcW w:type="dxa" w:w="1728"/>
          </w:tcPr>
          <w:p>
            <w:r>
              <w:rPr>
                <w:rFonts w:ascii="Calibri" w:hAnsi="Calibri"/>
                <w:b/>
                <w:color w:val="30A46C"/>
                <w:sz w:val="22"/>
              </w:rPr>
              <w:t>+7.5%</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$1.02</w:t>
            </w:r>
          </w:p>
        </w:tc>
        <w:tc>
          <w:tcPr>
            <w:tcW w:type="dxa" w:w="1728"/>
          </w:tcPr>
          <w:p>
            <w:r>
              <w:rPr>
                <w:rFonts w:ascii="Calibri" w:hAnsi="Calibri"/>
                <w:sz w:val="22"/>
              </w:rPr>
              <w:t>$1.00</w:t>
            </w:r>
          </w:p>
        </w:tc>
        <w:tc>
          <w:tcPr>
            <w:tcW w:type="dxa" w:w="1728"/>
          </w:tcPr>
          <w:p>
            <w:r>
              <w:rPr>
                <w:rFonts w:ascii="Calibri" w:hAnsi="Calibri"/>
                <w:b/>
                <w:color w:val="30A46C"/>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$0.87</w:t>
            </w:r>
          </w:p>
        </w:tc>
        <w:tc>
          <w:tcPr>
            <w:tcW w:type="dxa" w:w="1728"/>
          </w:tcPr>
          <w:p>
            <w:r>
              <w:rPr>
                <w:rFonts w:ascii="Calibri" w:hAnsi="Calibri"/>
                <w:sz w:val="22"/>
              </w:rPr>
              <w:t>$0.87</w:t>
            </w:r>
          </w:p>
        </w:tc>
        <w:tc>
          <w:tcPr>
            <w:tcW w:type="dxa" w:w="1728"/>
          </w:tcPr>
          <w:p>
            <w:r>
              <w:rPr>
                <w:rFonts w:ascii="Calibri" w:hAnsi="Calibri"/>
                <w:sz w:val="22"/>
              </w:rPr>
              <w:t>0.0%</w:t>
            </w:r>
          </w:p>
        </w:tc>
        <w:tc>
          <w:tcPr>
            <w:tcW w:type="dxa" w:w="1728"/>
          </w:tcPr>
          <w:p>
            <w:r>
              <w:rPr>
                <w:rFonts w:ascii="Calibri" w:hAnsi="Calibri"/>
                <w:sz w:val="22"/>
              </w:rPr>
              <w:t>In-Line</w:t>
            </w:r>
          </w:p>
        </w:tc>
      </w:tr>
      <w:tr>
        <w:tc>
          <w:tcPr>
            <w:tcW w:type="dxa" w:w="1728"/>
          </w:tcPr>
          <w:p>
            <w:r>
              <w:rPr>
                <w:rFonts w:ascii="Calibri" w:hAnsi="Calibri"/>
                <w:sz w:val="22"/>
              </w:rPr>
              <w:t>Q3 2024</w:t>
            </w:r>
          </w:p>
        </w:tc>
        <w:tc>
          <w:tcPr>
            <w:tcW w:type="dxa" w:w="1728"/>
          </w:tcPr>
          <w:p>
            <w:r>
              <w:rPr>
                <w:rFonts w:ascii="Calibri" w:hAnsi="Calibri"/>
                <w:sz w:val="22"/>
              </w:rPr>
              <w:t>$0.84</w:t>
            </w:r>
          </w:p>
        </w:tc>
        <w:tc>
          <w:tcPr>
            <w:tcW w:type="dxa" w:w="1728"/>
          </w:tcPr>
          <w:p>
            <w:r>
              <w:rPr>
                <w:rFonts w:ascii="Calibri" w:hAnsi="Calibri"/>
                <w:sz w:val="22"/>
              </w:rPr>
              <w:t>$0.78</w:t>
            </w:r>
          </w:p>
        </w:tc>
        <w:tc>
          <w:tcPr>
            <w:tcW w:type="dxa" w:w="1728"/>
          </w:tcPr>
          <w:p>
            <w:r>
              <w:rPr>
                <w:rFonts w:ascii="Calibri" w:hAnsi="Calibri"/>
                <w:b/>
                <w:color w:val="30A46C"/>
                <w:sz w:val="22"/>
              </w:rPr>
              <w:t>+7.7%</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$0.66</w:t>
            </w:r>
          </w:p>
        </w:tc>
        <w:tc>
          <w:tcPr>
            <w:tcW w:type="dxa" w:w="1728"/>
          </w:tcPr>
          <w:p>
            <w:r>
              <w:rPr>
                <w:rFonts w:ascii="Calibri" w:hAnsi="Calibri"/>
                <w:sz w:val="22"/>
              </w:rPr>
              <w:t>$0.61</w:t>
            </w:r>
          </w:p>
        </w:tc>
        <w:tc>
          <w:tcPr>
            <w:tcW w:type="dxa" w:w="1728"/>
          </w:tcPr>
          <w:p>
            <w:r>
              <w:rPr>
                <w:rFonts w:ascii="Calibri" w:hAnsi="Calibri"/>
                <w:b/>
                <w:color w:val="30A46C"/>
                <w:sz w:val="22"/>
              </w:rPr>
              <w:t>+8.2%</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CMS has beaten or matched adjusted EPS consensus in all 8 of the last 8 quarters, with an average positive surprise of ~4.6% — a remarkably consistent track record that reflects management's practice of guiding conservatively and compounding off actuals. The Q2 2026 bar is the lowest in recent memory, making a beat the base case.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is </w:t>
      </w:r>
      <w:r>
        <w:rPr>
          <w:rFonts w:ascii="Calibri" w:hAnsi="Calibri"/>
          <w:b/>
          <w:color w:val="525866"/>
          <w:sz w:val="22"/>
        </w:rPr>
        <w:t>unchanged since the Q1 2026 earnings call</w:t>
      </w:r>
      <w:r>
        <w:rPr>
          <w:rFonts w:ascii="Calibri" w:hAnsi="Calibri"/>
          <w:color w:val="525866"/>
          <w:sz w:val="22"/>
        </w:rPr>
        <w:t xml:space="preserve"> — management reaffirmed $3.83–$3.90 FY 2026 adjusted EPS with confidence toward the high end; tone remains constructive on regulatory outcomes, load growth, and data center pipeline progress, with no post-earnings guidance revisions.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Adjusted EPS</w:t>
            </w:r>
          </w:p>
        </w:tc>
        <w:tc>
          <w:tcPr>
            <w:tcW w:type="dxa" w:w="1728"/>
          </w:tcPr>
          <w:p>
            <w:r>
              <w:rPr>
                <w:rFonts w:ascii="Calibri" w:hAnsi="Calibri"/>
                <w:sz w:val="22"/>
              </w:rPr>
              <w:t>$3.83–$3.90; confidence toward high end</w:t>
            </w:r>
          </w:p>
        </w:tc>
        <w:tc>
          <w:tcPr>
            <w:tcW w:type="dxa" w:w="1728"/>
          </w:tcPr>
          <w:p>
            <w:r>
              <w:rPr>
                <w:rFonts w:ascii="Calibri" w:hAnsi="Calibri"/>
                <w:sz w:val="22"/>
              </w:rPr>
              <w:t>—</w:t>
            </w:r>
          </w:p>
        </w:tc>
        <w:tc>
          <w:tcPr>
            <w:tcW w:type="dxa" w:w="1728"/>
          </w:tcPr>
          <w:p>
            <w:r>
              <w:rPr>
                <w:rFonts w:ascii="Calibri" w:hAnsi="Calibri"/>
                <w:sz w:val="22"/>
              </w:rPr>
              <w:t>$3.93</w:t>
            </w:r>
          </w:p>
        </w:tc>
        <w:tc>
          <w:tcPr>
            <w:tcW w:type="dxa" w:w="1728"/>
          </w:tcPr>
          <w:p>
            <w:r>
              <w:rPr>
                <w:rFonts w:ascii="Calibri" w:hAnsi="Calibri"/>
                <w:sz w:val="22"/>
              </w:rPr>
              <w:t>Unchanged; consensus sits above guidance midpoint ($3.865), reflecting market confidence in high-end delivery</w:t>
            </w:r>
          </w:p>
        </w:tc>
      </w:tr>
      <w:tr>
        <w:tc>
          <w:tcPr>
            <w:tcW w:type="dxa" w:w="1728"/>
          </w:tcPr>
          <w:p>
            <w:r>
              <w:rPr>
                <w:rFonts w:ascii="Calibri" w:hAnsi="Calibri"/>
                <w:sz w:val="22"/>
              </w:rPr>
              <w:t>Long-Term EPS Growth</w:t>
            </w:r>
          </w:p>
        </w:tc>
        <w:tc>
          <w:tcPr>
            <w:tcW w:type="dxa" w:w="1728"/>
          </w:tcPr>
          <w:p>
            <w:r>
              <w:rPr>
                <w:rFonts w:ascii="Calibri" w:hAnsi="Calibri"/>
                <w:sz w:val="22"/>
              </w:rPr>
              <w:t>High end of 6–8% range (compounding off actuals)</w:t>
            </w:r>
          </w:p>
        </w:tc>
        <w:tc>
          <w:tcPr>
            <w:tcW w:type="dxa" w:w="1728"/>
          </w:tcPr>
          <w:p>
            <w:r>
              <w:rPr>
                <w:rFonts w:ascii="Calibri" w:hAnsi="Calibri"/>
                <w:sz w:val="22"/>
              </w:rPr>
              <w:t>—</w:t>
            </w:r>
          </w:p>
        </w:tc>
        <w:tc>
          <w:tcPr>
            <w:tcW w:type="dxa" w:w="1728"/>
          </w:tcPr>
          <w:p>
            <w:r>
              <w:rPr>
                <w:rFonts w:ascii="Calibri" w:hAnsi="Calibri"/>
                <w:sz w:val="22"/>
              </w:rPr>
              <w:t>~7–8% implied by FY27 cons. of $4.17</w:t>
            </w:r>
          </w:p>
        </w:tc>
        <w:tc>
          <w:tcPr>
            <w:tcW w:type="dxa" w:w="1728"/>
          </w:tcPr>
          <w:p>
            <w:r>
              <w:rPr>
                <w:rFonts w:ascii="Calibri" w:hAnsi="Calibri"/>
                <w:sz w:val="22"/>
              </w:rPr>
              <w:t>Unchanged; management reiterated long-term growth target on Q1 call</w:t>
            </w:r>
          </w:p>
        </w:tc>
      </w:tr>
      <w:tr>
        <w:tc>
          <w:tcPr>
            <w:tcW w:type="dxa" w:w="1728"/>
          </w:tcPr>
          <w:p>
            <w:r>
              <w:rPr>
                <w:rFonts w:ascii="Calibri" w:hAnsi="Calibri"/>
                <w:sz w:val="22"/>
              </w:rPr>
              <w:t>FY 2026 Equity Issuance</w:t>
            </w:r>
          </w:p>
        </w:tc>
        <w:tc>
          <w:tcPr>
            <w:tcW w:type="dxa" w:w="1728"/>
          </w:tcPr>
          <w:p>
            <w:r>
              <w:rPr>
                <w:rFonts w:ascii="Calibri" w:hAnsi="Calibri"/>
                <w:sz w:val="22"/>
              </w:rPr>
              <w:t>~$700M aggregate for the year; majority of 5-yr needs front-end loaded</w:t>
            </w:r>
          </w:p>
        </w:tc>
        <w:tc>
          <w:tcPr>
            <w:tcW w:type="dxa" w:w="1728"/>
          </w:tcPr>
          <w:p>
            <w:r>
              <w:rPr>
                <w:rFonts w:ascii="Calibri" w:hAnsi="Calibri"/>
                <w:sz w:val="22"/>
              </w:rPr>
              <w:t>—</w:t>
            </w:r>
          </w:p>
        </w:tc>
        <w:tc>
          <w:tcPr>
            <w:tcW w:type="dxa" w:w="1728"/>
          </w:tcPr>
          <w:p>
            <w:r>
              <w:rPr>
                <w:rFonts w:ascii="Calibri" w:hAnsi="Calibri"/>
                <w:sz w:val="22"/>
              </w:rPr>
              <w:t>N/A (not a consensus KPI)</w:t>
            </w:r>
          </w:p>
        </w:tc>
        <w:tc>
          <w:tcPr>
            <w:tcW w:type="dxa" w:w="1728"/>
          </w:tcPr>
          <w:p>
            <w:r>
              <w:rPr>
                <w:rFonts w:ascii="Calibri" w:hAnsi="Calibri"/>
                <w:sz w:val="22"/>
              </w:rPr>
              <w:t>~$495M in equity forwards executed in Q1; ~$142M settled; balance to be issued through year-end</w:t>
            </w:r>
          </w:p>
        </w:tc>
      </w:tr>
      <w:tr>
        <w:tc>
          <w:tcPr>
            <w:tcW w:type="dxa" w:w="1728"/>
          </w:tcPr>
          <w:p>
            <w:r>
              <w:rPr>
                <w:rFonts w:ascii="Calibri" w:hAnsi="Calibri"/>
                <w:sz w:val="22"/>
              </w:rPr>
              <w:t>FY 2026 CapEx</w:t>
            </w:r>
          </w:p>
        </w:tc>
        <w:tc>
          <w:tcPr>
            <w:tcW w:type="dxa" w:w="1728"/>
          </w:tcPr>
          <w:p>
            <w:r>
              <w:rPr>
                <w:rFonts w:ascii="Calibri" w:hAnsi="Calibri"/>
                <w:sz w:val="22"/>
              </w:rPr>
              <w:t>~$4.3B (5-yr plan: $24B+)</w:t>
            </w:r>
          </w:p>
        </w:tc>
        <w:tc>
          <w:tcPr>
            <w:tcW w:type="dxa" w:w="1728"/>
          </w:tcPr>
          <w:p>
            <w:r>
              <w:rPr>
                <w:rFonts w:ascii="Calibri" w:hAnsi="Calibri"/>
                <w:sz w:val="22"/>
              </w:rPr>
              <w:t>—</w:t>
            </w:r>
          </w:p>
        </w:tc>
        <w:tc>
          <w:tcPr>
            <w:tcW w:type="dxa" w:w="1728"/>
          </w:tcPr>
          <w:p>
            <w:r>
              <w:rPr>
                <w:rFonts w:ascii="Calibri" w:hAnsi="Calibri"/>
                <w:sz w:val="22"/>
              </w:rPr>
              <w:t>$4.30B</w:t>
            </w:r>
          </w:p>
        </w:tc>
        <w:tc>
          <w:tcPr>
            <w:tcW w:type="dxa" w:w="1728"/>
          </w:tcPr>
          <w:p>
            <w:r>
              <w:rPr>
                <w:rFonts w:ascii="Calibri" w:hAnsi="Calibri"/>
                <w:sz w:val="22"/>
              </w:rPr>
              <w:t>Unchanged; consensus in-line with plan; IRP filing (June 2026) may expand long-term CapEx opportunity</w:t>
            </w:r>
          </w:p>
        </w:tc>
      </w:tr>
      <w:tr>
        <w:tc>
          <w:tcPr>
            <w:tcW w:type="dxa" w:w="1728"/>
          </w:tcPr>
          <w:p>
            <w:r>
              <w:rPr>
                <w:rFonts w:ascii="Calibri" w:hAnsi="Calibri"/>
                <w:sz w:val="22"/>
              </w:rPr>
              <w:t>Load Growth</w:t>
            </w:r>
          </w:p>
        </w:tc>
        <w:tc>
          <w:tcPr>
            <w:tcW w:type="dxa" w:w="1728"/>
          </w:tcPr>
          <w:p>
            <w:r>
              <w:rPr>
                <w:rFonts w:ascii="Calibri" w:hAnsi="Calibri"/>
                <w:sz w:val="22"/>
              </w:rPr>
              <w:t>2–3% annual sales growth; 110 MW signed YTD in Q1 (vs. 100 MW all of 2025)</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Tone improving; non-data center load accelerating; data center pipeline &gt;9 GW qualified; 2028 online date maintained in contracts</w:t>
            </w:r>
          </w:p>
        </w:tc>
      </w:tr>
      <w:tr>
        <w:tc>
          <w:tcPr>
            <w:tcW w:type="dxa" w:w="1728"/>
          </w:tcPr>
          <w:p>
            <w:r>
              <w:rPr>
                <w:rFonts w:ascii="Calibri" w:hAnsi="Calibri"/>
                <w:sz w:val="22"/>
              </w:rPr>
              <w:t>FFO / Total Debt</w:t>
            </w:r>
          </w:p>
        </w:tc>
        <w:tc>
          <w:tcPr>
            <w:tcW w:type="dxa" w:w="1728"/>
          </w:tcPr>
          <w:p>
            <w:r>
              <w:rPr>
                <w:rFonts w:ascii="Calibri" w:hAnsi="Calibri"/>
                <w:sz w:val="22"/>
              </w:rPr>
              <w:t>Mid-teens target (long-term)</w:t>
            </w:r>
          </w:p>
        </w:tc>
        <w:tc>
          <w:tcPr>
            <w:tcW w:type="dxa" w:w="1728"/>
          </w:tcPr>
          <w:p>
            <w:r>
              <w:rPr>
                <w:rFonts w:ascii="Calibri" w:hAnsi="Calibri"/>
                <w:sz w:val="22"/>
              </w:rPr>
              <w:t>—</w:t>
            </w:r>
          </w:p>
        </w:tc>
        <w:tc>
          <w:tcPr>
            <w:tcW w:type="dxa" w:w="1728"/>
          </w:tcPr>
          <w:p>
            <w:r>
              <w:rPr>
                <w:rFonts w:ascii="Calibri" w:hAnsi="Calibri"/>
                <w:sz w:val="22"/>
              </w:rPr>
              <w:t>14.1% FY 2026 cons.</w:t>
            </w:r>
          </w:p>
        </w:tc>
        <w:tc>
          <w:tcPr>
            <w:tcW w:type="dxa" w:w="1728"/>
          </w:tcPr>
          <w:p>
            <w:r>
              <w:rPr>
                <w:rFonts w:ascii="Calibri" w:hAnsi="Calibri"/>
                <w:sz w:val="22"/>
              </w:rPr>
              <w:t>Moody's moved utility to negative outlook (Mar 2026) on CapEx recovery timing; CMS evaluating countermeasures; Fitch stable</w:t>
            </w:r>
          </w:p>
        </w:tc>
      </w:tr>
    </w:tbl>
    <w:p>
      <w:r>
        <w:rPr>
          <w:rFonts w:ascii="Calibri" w:hAnsi="Calibri"/>
          <w:i/>
          <w:color w:val="525866"/>
          <w:sz w:val="22"/>
        </w:rPr>
        <w:t>Source: CMS Energy Q1 2026 Earnings Call Transcript (April 28, 2026); Visible Alpha Consensus Data.</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Full-year 2026 EPS estimates have been </w:t>
      </w:r>
      <w:r>
        <w:rPr>
          <w:rFonts w:ascii="Calibri" w:hAnsi="Calibri"/>
          <w:b/>
          <w:color w:val="525866"/>
          <w:sz w:val="22"/>
        </w:rPr>
        <w:t>stable to slightly rising</w:t>
      </w:r>
      <w:r>
        <w:rPr>
          <w:rFonts w:ascii="Calibri" w:hAnsi="Calibri"/>
          <w:color w:val="525866"/>
          <w:sz w:val="22"/>
        </w:rPr>
        <w:t xml:space="preserve"> since the Q1 print, with consensus now at $3.93 vs. $3.90 at the post-Q1 baseline — tracking above the guidance midpoint and reflecting market confidence in high-end delivery; Q2 2026 estimates have been cut sharply on weather/storm headwinds but this is widely understood as a timing issue, not a structural miss.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$0.82</w:t>
            </w:r>
          </w:p>
        </w:tc>
        <w:tc>
          <w:tcPr>
            <w:tcW w:type="dxa" w:w="1080"/>
          </w:tcPr>
          <w:p>
            <w:r>
              <w:rPr>
                <w:rFonts w:ascii="Calibri" w:hAnsi="Calibri"/>
                <w:sz w:val="22"/>
              </w:rPr>
              <w:t>~$0.36–$0.41</w:t>
            </w:r>
          </w:p>
        </w:tc>
        <w:tc>
          <w:tcPr>
            <w:tcW w:type="dxa" w:w="1080"/>
          </w:tcPr>
          <w:p>
            <w:r>
              <w:rPr>
                <w:rFonts w:ascii="Calibri" w:hAnsi="Calibri"/>
                <w:b/>
                <w:color w:val="E5484D"/>
                <w:sz w:val="22"/>
              </w:rPr>
              <w:t>−51% to −56%</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EPS — FY 2026</w:t>
            </w:r>
          </w:p>
        </w:tc>
        <w:tc>
          <w:tcPr>
            <w:tcW w:type="dxa" w:w="1080"/>
          </w:tcPr>
          <w:p>
            <w:r>
              <w:rPr>
                <w:rFonts w:ascii="Calibri" w:hAnsi="Calibri"/>
                <w:sz w:val="22"/>
              </w:rPr>
              <w:t>$3.90</w:t>
            </w:r>
          </w:p>
        </w:tc>
        <w:tc>
          <w:tcPr>
            <w:tcW w:type="dxa" w:w="1080"/>
          </w:tcPr>
          <w:p>
            <w:r>
              <w:rPr>
                <w:rFonts w:ascii="Calibri" w:hAnsi="Calibri"/>
                <w:sz w:val="22"/>
              </w:rPr>
              <w:t>$3.93</w:t>
            </w:r>
          </w:p>
        </w:tc>
        <w:tc>
          <w:tcPr>
            <w:tcW w:type="dxa" w:w="1080"/>
          </w:tcPr>
          <w:p>
            <w:r>
              <w:rPr>
                <w:rFonts w:ascii="Calibri" w:hAnsi="Calibri"/>
                <w:b/>
                <w:color w:val="30A46C"/>
                <w:sz w:val="22"/>
              </w:rPr>
              <w:t>+0.8%</w:t>
            </w:r>
          </w:p>
        </w:tc>
        <w:tc>
          <w:tcPr>
            <w:tcW w:type="dxa" w:w="1080"/>
          </w:tcPr>
          <w:p>
            <w:r>
              <w:rPr>
                <w:rFonts w:ascii="Calibri" w:hAnsi="Calibri"/>
                <w:sz w:val="22"/>
              </w:rPr>
              <w:t>$3.83–$3.90 (high end)</w:t>
            </w:r>
          </w:p>
        </w:tc>
        <w:tc>
          <w:tcPr>
            <w:tcW w:type="dxa" w:w="1080"/>
          </w:tcPr>
          <w:p>
            <w:r>
              <w:rPr>
                <w:rFonts w:ascii="Calibri" w:hAnsi="Calibri"/>
                <w:sz w:val="22"/>
              </w:rPr>
              <w:t>$3.83–$3.90 (unchanged)</w:t>
            </w:r>
          </w:p>
        </w:tc>
        <w:tc>
          <w:tcPr>
            <w:tcW w:type="dxa" w:w="1080"/>
          </w:tcPr>
          <w:p>
            <w:r>
              <w:rPr>
                <w:rFonts w:ascii="Calibri" w:hAnsi="Calibri"/>
                <w:sz w:val="22"/>
              </w:rPr>
              <w:t>Unchanged</w:t>
            </w:r>
          </w:p>
        </w:tc>
        <w:tc>
          <w:tcPr>
            <w:tcW w:type="dxa" w:w="1080"/>
          </w:tcPr>
          <w:p>
            <w:r>
              <w:rPr>
                <w:rFonts w:ascii="Calibri" w:hAnsi="Calibri"/>
                <w:sz w:val="22"/>
              </w:rPr>
              <w:t>+1.7% above midpoint</w:t>
            </w:r>
          </w:p>
        </w:tc>
      </w:tr>
      <w:tr>
        <w:tc>
          <w:tcPr>
            <w:tcW w:type="dxa" w:w="1080"/>
          </w:tcPr>
          <w:p>
            <w:r>
              <w:rPr>
                <w:rFonts w:ascii="Calibri" w:hAnsi="Calibri"/>
                <w:sz w:val="22"/>
              </w:rPr>
              <w:t>Adj. EPS — FY 2027</w:t>
            </w:r>
          </w:p>
        </w:tc>
        <w:tc>
          <w:tcPr>
            <w:tcW w:type="dxa" w:w="1080"/>
          </w:tcPr>
          <w:p>
            <w:r>
              <w:rPr>
                <w:rFonts w:ascii="Calibri" w:hAnsi="Calibri"/>
                <w:sz w:val="22"/>
              </w:rPr>
              <w:t>$4.18</w:t>
            </w:r>
          </w:p>
        </w:tc>
        <w:tc>
          <w:tcPr>
            <w:tcW w:type="dxa" w:w="1080"/>
          </w:tcPr>
          <w:p>
            <w:r>
              <w:rPr>
                <w:rFonts w:ascii="Calibri" w:hAnsi="Calibri"/>
                <w:sz w:val="22"/>
              </w:rPr>
              <w:t>$4.17</w:t>
            </w:r>
          </w:p>
        </w:tc>
        <w:tc>
          <w:tcPr>
            <w:tcW w:type="dxa" w:w="1080"/>
          </w:tcPr>
          <w:p>
            <w:r>
              <w:rPr>
                <w:rFonts w:ascii="Calibri" w:hAnsi="Calibri"/>
                <w:sz w:val="22"/>
              </w:rPr>
              <w:t>−0.2%</w:t>
            </w:r>
          </w:p>
        </w:tc>
        <w:tc>
          <w:tcPr>
            <w:tcW w:type="dxa" w:w="1080"/>
          </w:tcPr>
          <w:p>
            <w:r>
              <w:rPr>
                <w:rFonts w:ascii="Calibri" w:hAnsi="Calibri"/>
                <w:sz w:val="22"/>
              </w:rPr>
              <w:t>High end of 6–8% growth</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Implies ~6.1% growth off $3.93</w:t>
            </w:r>
          </w:p>
        </w:tc>
      </w:tr>
      <w:tr>
        <w:tc>
          <w:tcPr>
            <w:tcW w:type="dxa" w:w="1080"/>
          </w:tcPr>
          <w:p>
            <w:r>
              <w:rPr>
                <w:rFonts w:ascii="Calibri" w:hAnsi="Calibri"/>
                <w:sz w:val="22"/>
              </w:rPr>
              <w:t>Revenue — Q2 2026</w:t>
            </w:r>
          </w:p>
        </w:tc>
        <w:tc>
          <w:tcPr>
            <w:tcW w:type="dxa" w:w="1080"/>
          </w:tcPr>
          <w:p>
            <w:r>
              <w:rPr>
                <w:rFonts w:ascii="Calibri" w:hAnsi="Calibri"/>
                <w:sz w:val="22"/>
              </w:rPr>
              <w:t>$2.09B</w:t>
            </w:r>
          </w:p>
        </w:tc>
        <w:tc>
          <w:tcPr>
            <w:tcW w:type="dxa" w:w="1080"/>
          </w:tcPr>
          <w:p>
            <w:r>
              <w:rPr>
                <w:rFonts w:ascii="Calibri" w:hAnsi="Calibri"/>
                <w:sz w:val="22"/>
              </w:rPr>
              <w:t>$1.78B</w:t>
            </w:r>
          </w:p>
        </w:tc>
        <w:tc>
          <w:tcPr>
            <w:tcW w:type="dxa" w:w="1080"/>
          </w:tcPr>
          <w:p>
            <w:r>
              <w:rPr>
                <w:rFonts w:ascii="Calibri" w:hAnsi="Calibri"/>
                <w:b/>
                <w:color w:val="E5484D"/>
                <w:sz w:val="22"/>
              </w:rPr>
              <w:t>−14.8%</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Revenue — FY 2026</w:t>
            </w:r>
          </w:p>
        </w:tc>
        <w:tc>
          <w:tcPr>
            <w:tcW w:type="dxa" w:w="1080"/>
          </w:tcPr>
          <w:p>
            <w:r>
              <w:rPr>
                <w:rFonts w:ascii="Calibri" w:hAnsi="Calibri"/>
                <w:sz w:val="22"/>
              </w:rPr>
              <w:t>$8.87B</w:t>
            </w:r>
          </w:p>
        </w:tc>
        <w:tc>
          <w:tcPr>
            <w:tcW w:type="dxa" w:w="1080"/>
          </w:tcPr>
          <w:p>
            <w:r>
              <w:rPr>
                <w:rFonts w:ascii="Calibri" w:hAnsi="Calibri"/>
                <w:sz w:val="22"/>
              </w:rPr>
              <w:t>$9.01B</w:t>
            </w:r>
          </w:p>
        </w:tc>
        <w:tc>
          <w:tcPr>
            <w:tcW w:type="dxa" w:w="1080"/>
          </w:tcPr>
          <w:p>
            <w:r>
              <w:rPr>
                <w:rFonts w:ascii="Calibri" w:hAnsi="Calibri"/>
                <w:b/>
                <w:color w:val="30A46C"/>
                <w:sz w:val="22"/>
              </w:rPr>
              <w:t>+1.6%</w:t>
            </w:r>
          </w:p>
        </w:tc>
        <w:tc>
          <w:tcPr>
            <w:tcW w:type="dxa" w:w="1080"/>
          </w:tcPr>
          <w:p>
            <w:r>
              <w:rPr>
                <w:rFonts w:ascii="Calibri" w:hAnsi="Calibri"/>
                <w:sz w:val="22"/>
              </w:rPr>
              <w:t>No specific FY rev. guidance</w:t>
            </w:r>
          </w:p>
        </w:tc>
        <w:tc>
          <w:tcPr>
            <w:tcW w:type="dxa" w:w="1080"/>
          </w:tcPr>
          <w:p>
            <w:r>
              <w:rPr>
                <w:rFonts w:ascii="Calibri" w:hAnsi="Calibri"/>
                <w:sz w:val="22"/>
              </w:rPr>
              <w:t>No specific FY rev.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CapEx — FY 2026</w:t>
            </w:r>
          </w:p>
        </w:tc>
        <w:tc>
          <w:tcPr>
            <w:tcW w:type="dxa" w:w="1080"/>
          </w:tcPr>
          <w:p>
            <w:r>
              <w:rPr>
                <w:rFonts w:ascii="Calibri" w:hAnsi="Calibri"/>
                <w:sz w:val="22"/>
              </w:rPr>
              <w:t>$4.28B</w:t>
            </w:r>
          </w:p>
        </w:tc>
        <w:tc>
          <w:tcPr>
            <w:tcW w:type="dxa" w:w="1080"/>
          </w:tcPr>
          <w:p>
            <w:r>
              <w:rPr>
                <w:rFonts w:ascii="Calibri" w:hAnsi="Calibri"/>
                <w:sz w:val="22"/>
              </w:rPr>
              <w:t>$4.30B</w:t>
            </w:r>
          </w:p>
        </w:tc>
        <w:tc>
          <w:tcPr>
            <w:tcW w:type="dxa" w:w="1080"/>
          </w:tcPr>
          <w:p>
            <w:r>
              <w:rPr>
                <w:rFonts w:ascii="Calibri" w:hAnsi="Calibri"/>
                <w:sz w:val="22"/>
              </w:rPr>
              <w:t>+0.6%</w:t>
            </w:r>
          </w:p>
        </w:tc>
        <w:tc>
          <w:tcPr>
            <w:tcW w:type="dxa" w:w="1080"/>
          </w:tcPr>
          <w:p>
            <w:r>
              <w:rPr>
                <w:rFonts w:ascii="Calibri" w:hAnsi="Calibri"/>
                <w:sz w:val="22"/>
              </w:rPr>
              <w:t>~$4.3B</w:t>
            </w:r>
          </w:p>
        </w:tc>
        <w:tc>
          <w:tcPr>
            <w:tcW w:type="dxa" w:w="1080"/>
          </w:tcPr>
          <w:p>
            <w:r>
              <w:rPr>
                <w:rFonts w:ascii="Calibri" w:hAnsi="Calibri"/>
                <w:sz w:val="22"/>
              </w:rPr>
              <w:t>~$4.3B (unchanged)</w:t>
            </w:r>
          </w:p>
        </w:tc>
        <w:tc>
          <w:tcPr>
            <w:tcW w:type="dxa" w:w="1080"/>
          </w:tcPr>
          <w:p>
            <w:r>
              <w:rPr>
                <w:rFonts w:ascii="Calibri" w:hAnsi="Calibri"/>
                <w:sz w:val="22"/>
              </w:rPr>
              <w:t>Unchanged</w:t>
            </w:r>
          </w:p>
        </w:tc>
        <w:tc>
          <w:tcPr>
            <w:tcW w:type="dxa" w:w="1080"/>
          </w:tcPr>
          <w:p>
            <w:r>
              <w:rPr>
                <w:rFonts w:ascii="Calibri" w:hAnsi="Calibri"/>
                <w:sz w:val="22"/>
              </w:rPr>
              <w:t>In-line</w:t>
            </w:r>
          </w:p>
        </w:tc>
      </w:tr>
    </w:tbl>
    <w:p>
      <w:r>
        <w:rPr>
          <w:rFonts w:ascii="Calibri" w:hAnsi="Calibri"/>
          <w:color w:val="525866"/>
          <w:sz w:val="22"/>
        </w:rPr>
        <w:t>The sharp Q2 2026 EPS estimate cut (from ~$0.82 at the post-Q1 baseline to ~$0.36–$0.41 currently) reflects analyst modeling of adverse weather comparisons and elevated storm-related O&amp;M, consistent with BMO's characterization of "Tough Weather and Timing, but Full-Year Outlook Remains Intact." Full-year estimates have been stable to slightly rising, with consensus now above the guidance midpoint — a constructive signal that the Street is not pricing in any structural deterioration.</w:t>
      </w:r>
    </w:p>
    <w:p>
      <w:r>
        <w:rPr>
          <w:rFonts w:ascii="Calibri" w:hAnsi="Calibri"/>
          <w:i/>
          <w:color w:val="525866"/>
          <w:sz w:val="22"/>
        </w:rPr>
        <w:t>Source: Visible Alpha Consensus and Actuals Data (as-of date: May 5, 2026 for baseline; latest for current). Analyst estimates from BMO Capital, UBS, Jefferies, KeyCorp (July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CMS has </w:t>
      </w:r>
      <w:r>
        <w:rPr>
          <w:rFonts w:ascii="Calibri" w:hAnsi="Calibri"/>
          <w:b/>
          <w:color w:val="525866"/>
          <w:sz w:val="22"/>
        </w:rPr>
        <w:t>underperformed XLU by ~1.7 percentage points</w:t>
      </w:r>
      <w:r>
        <w:rPr>
          <w:rFonts w:ascii="Calibri" w:hAnsi="Calibri"/>
          <w:color w:val="525866"/>
          <w:sz w:val="22"/>
        </w:rPr>
        <w:t xml:space="preserve"> since the Q1 2026 earnings print (Apr 28), drifting from $75.92 to $74.72 (−1.6%) vs. XLU essentially flat (+0.1%), as the market absorbed the weak Q2 weather/storm setup; the stock has not priced in any upside from data center or NorthStar catalysts, leaving a favorable risk/reward into the print.</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CMS Energy vs. XLU (Utilities ETF) — Indexed to 100 at Q1 2026 Earnings (April 28, 2026). Source: Yahoo Finance / Stock Price Data.</w:t>
      </w:r>
    </w:p>
    <w:p>
      <w:r>
        <w:rPr>
          <w:rFonts w:ascii="Calibri" w:hAnsi="Calibri"/>
          <w:color w:val="525866"/>
          <w:sz w:val="22"/>
        </w:rPr>
        <w:t>Since the Q1 2026 earnings print on April 28, CMS has traded in a range of $70.22 (June 3 trough) to $78.81 (June 26 peak), before settling back to $74.72 as of July 24. The stock sold off ~7% from the post-earnings level through early June, likely reflecting broader utility sector weakness and growing concern about the Q2 weather/storm headwind, before recovering on load growth news (Michigan Potash contract, data center pipeline updates) and analyst price target increases from JPMorgan ($82→$85, Overweight, July 16) and Barclays ($79→$81, Overweight, July 14). The stock's current level implies a forward P/E of approximately 19x on FY 2026 consensus of $3.93 — a modest discount to the low-20s range that CMS has historically commanded, suggesting the market is not pricing in any data center or NorthStar upside. XLU has been essentially flat over the same period (+0.1%), meaning CMS's underperformance is company-specific rather than sector-driven.</w:t>
      </w:r>
    </w:p>
    <w:p>
      <w:r>
        <w:rPr>
          <w:rFonts w:ascii="Calibri" w:hAnsi="Calibri"/>
          <w:i/>
          <w:color w:val="525866"/>
          <w:sz w:val="22"/>
        </w:rPr>
        <w:t>Source: Stock Price Data (Yahoo Finance). Analyst price targets from internet research (July 2026).</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the Q1 print is the emerging narrative around a potential </w:t>
      </w:r>
      <w:r>
        <w:rPr>
          <w:rFonts w:ascii="Calibri" w:hAnsi="Calibri"/>
          <w:b/>
          <w:color w:val="525866"/>
          <w:sz w:val="22"/>
        </w:rPr>
        <w:t>NorthStar Clean Energy disposition</w:t>
      </w:r>
      <w:r>
        <w:rPr>
          <w:rFonts w:ascii="Calibri" w:hAnsi="Calibri"/>
          <w:color w:val="525866"/>
          <w:sz w:val="22"/>
        </w:rPr>
        <w:t>, which could be a meaningful catalyst if confirmed on the call; separately, the IRP filing and continued data center pipeline progress reinforce the long-term CapEx growth story.</w:t>
      </w:r>
    </w:p>
    <w:p>
      <w:pPr>
        <w:pStyle w:val="ListBullet"/>
        <w:ind w:left="360" w:hanging="360"/>
      </w:pPr>
      <w:r>
        <w:rPr>
          <w:rFonts w:ascii="Calibri" w:hAnsi="Calibri"/>
          <w:b/>
          <w:color w:val="525866"/>
          <w:sz w:val="22"/>
        </w:rPr>
        <w:t>July 23, 2026 — NorthStar Disposition Reports:</w:t>
      </w:r>
      <w:r>
        <w:rPr>
          <w:rFonts w:ascii="Calibri" w:hAnsi="Calibri"/>
          <w:color w:val="525866"/>
          <w:sz w:val="22"/>
        </w:rPr>
        <w:t xml:space="preserve"> Industry reports suggest CMS may be considering a sale of assets within its NorthStar Clean Energy segment. Multiple analysts noted management could address these reports on the Q2 call. NorthStar turned profitable in Q1 2026 after posting losses a year earlier, making any strategic decision particularly significant. </w:t>
      </w:r>
      <w:r>
        <w:rPr>
          <w:rFonts w:ascii="Calibri" w:hAnsi="Calibri"/>
          <w:b/>
          <w:color w:val="525866"/>
          <w:sz w:val="22"/>
        </w:rPr>
        <w:t>Implication:</w:t>
      </w:r>
      <w:r>
        <w:rPr>
          <w:rFonts w:ascii="Calibri" w:hAnsi="Calibri"/>
          <w:color w:val="525866"/>
          <w:sz w:val="22"/>
        </w:rPr>
        <w:t xml:space="preserve"> A confirmed sale could be a positive catalyst (simplification, proceeds to fund utility CapEx) or neutral (NorthStar is only ~5% of earnings mix); management has a strict no-M&amp;A-comment policy, so any color would be notable.</w:t>
      </w:r>
    </w:p>
    <w:p>
      <w:pPr>
        <w:pStyle w:val="ListBullet"/>
        <w:ind w:left="360" w:hanging="360"/>
      </w:pPr>
      <w:r>
        <w:rPr>
          <w:rFonts w:ascii="Calibri" w:hAnsi="Calibri"/>
          <w:b/>
          <w:color w:val="525866"/>
          <w:sz w:val="22"/>
        </w:rPr>
        <w:t>July 16, 2026 — JPMorgan Raises PT to $85 (Overweight):</w:t>
      </w:r>
      <w:r>
        <w:rPr>
          <w:rFonts w:ascii="Calibri" w:hAnsi="Calibri"/>
          <w:color w:val="525866"/>
          <w:sz w:val="22"/>
        </w:rPr>
        <w:t xml:space="preserve"> JPMorgan raised its price target from $82 to $85, citing confidence in the full-year outlook and data center pipeline progress. </w:t>
      </w:r>
      <w:r>
        <w:rPr>
          <w:rFonts w:ascii="Calibri" w:hAnsi="Calibri"/>
          <w:b/>
          <w:color w:val="525866"/>
          <w:sz w:val="22"/>
        </w:rPr>
        <w:t>Implication:</w:t>
      </w:r>
      <w:r>
        <w:rPr>
          <w:rFonts w:ascii="Calibri" w:hAnsi="Calibri"/>
          <w:color w:val="525866"/>
          <w:sz w:val="22"/>
        </w:rPr>
        <w:t xml:space="preserve"> Constructive signal from a key institutional voice ahead of the print.</w:t>
      </w:r>
    </w:p>
    <w:p>
      <w:pPr>
        <w:pStyle w:val="ListBullet"/>
        <w:ind w:left="360" w:hanging="360"/>
      </w:pPr>
      <w:r>
        <w:rPr>
          <w:rFonts w:ascii="Calibri" w:hAnsi="Calibri"/>
          <w:b/>
          <w:color w:val="525866"/>
          <w:sz w:val="22"/>
        </w:rPr>
        <w:t>July 14, 2026 — Barclays Raises PT to $81 (Overweight):</w:t>
      </w:r>
      <w:r>
        <w:rPr>
          <w:rFonts w:ascii="Calibri" w:hAnsi="Calibri"/>
          <w:color w:val="525866"/>
          <w:sz w:val="22"/>
        </w:rPr>
        <w:t xml:space="preserve"> Barclays lifted its price target from $79 to $81, maintaining an Overweight rating. </w:t>
      </w:r>
      <w:r>
        <w:rPr>
          <w:rFonts w:ascii="Calibri" w:hAnsi="Calibri"/>
          <w:b/>
          <w:color w:val="525866"/>
          <w:sz w:val="22"/>
        </w:rPr>
        <w:t>Implication:</w:t>
      </w:r>
      <w:r>
        <w:rPr>
          <w:rFonts w:ascii="Calibri" w:hAnsi="Calibri"/>
          <w:color w:val="525866"/>
          <w:sz w:val="22"/>
        </w:rPr>
        <w:t xml:space="preserve"> Consistent with the broader analyst community's view that Q2 weakness is transitory.</w:t>
      </w:r>
    </w:p>
    <w:p>
      <w:pPr>
        <w:pStyle w:val="ListBullet"/>
        <w:ind w:left="360" w:hanging="360"/>
      </w:pPr>
      <w:r>
        <w:rPr>
          <w:rFonts w:ascii="Calibri" w:hAnsi="Calibri"/>
          <w:b/>
          <w:color w:val="525866"/>
          <w:sz w:val="22"/>
        </w:rPr>
        <w:t>July 9, 2026 — Consumers Energy / 1 GW Data Center Contract:</w:t>
      </w:r>
      <w:r>
        <w:rPr>
          <w:rFonts w:ascii="Calibri" w:hAnsi="Calibri"/>
          <w:color w:val="525866"/>
          <w:sz w:val="22"/>
        </w:rPr>
        <w:t xml:space="preserve"> Reports indicate Consumers Energy is in the process of requesting approval of a special electricity rate for large power users from the MPSC, with a 1 GW data center contract under discussion. CMS is seeking to revise its IRP targets upward to meet growing demand. </w:t>
      </w:r>
      <w:r>
        <w:rPr>
          <w:rFonts w:ascii="Calibri" w:hAnsi="Calibri"/>
          <w:b/>
          <w:color w:val="525866"/>
          <w:sz w:val="22"/>
        </w:rPr>
        <w:t>Implication:</w:t>
      </w:r>
      <w:r>
        <w:rPr>
          <w:rFonts w:ascii="Calibri" w:hAnsi="Calibri"/>
          <w:color w:val="525866"/>
          <w:sz w:val="22"/>
        </w:rPr>
        <w:t xml:space="preserve"> Validates the data center pipeline narrative; each GW of new load represents $2–$5B of incremental CapEx opportunity.</w:t>
      </w:r>
    </w:p>
    <w:p>
      <w:pPr>
        <w:pStyle w:val="ListBullet"/>
        <w:ind w:left="360" w:hanging="360"/>
      </w:pPr>
      <w:r>
        <w:rPr>
          <w:rFonts w:ascii="Calibri" w:hAnsi="Calibri"/>
          <w:b/>
          <w:color w:val="525866"/>
          <w:sz w:val="22"/>
        </w:rPr>
        <w:t>July 1, 2026 — Leadership Appointment:</w:t>
      </w:r>
      <w:r>
        <w:rPr>
          <w:rFonts w:ascii="Calibri" w:hAnsi="Calibri"/>
          <w:color w:val="525866"/>
          <w:sz w:val="22"/>
        </w:rPr>
        <w:t xml:space="preserve"> CMS announced Polly Harris as Vice President of Human Resources. Chris Shellberg assumed the role of VP of Low-Voltage Electric Distribution effective July 1. </w:t>
      </w:r>
      <w:r>
        <w:rPr>
          <w:rFonts w:ascii="Calibri" w:hAnsi="Calibri"/>
          <w:b/>
          <w:color w:val="525866"/>
          <w:sz w:val="22"/>
        </w:rPr>
        <w:t>Implication:</w:t>
      </w:r>
      <w:r>
        <w:rPr>
          <w:rFonts w:ascii="Calibri" w:hAnsi="Calibri"/>
          <w:color w:val="525866"/>
          <w:sz w:val="22"/>
        </w:rPr>
        <w:t xml:space="preserve"> Routine operational appointments; no financial impact.</w:t>
      </w:r>
    </w:p>
    <w:p>
      <w:pPr>
        <w:pStyle w:val="ListBullet"/>
        <w:ind w:left="360" w:hanging="360"/>
      </w:pPr>
      <w:r>
        <w:rPr>
          <w:rFonts w:ascii="Calibri" w:hAnsi="Calibri"/>
          <w:b/>
          <w:color w:val="525866"/>
          <w:sz w:val="22"/>
        </w:rPr>
        <w:t>June 2026 — Electric Rate Case Filing (U-22070):</w:t>
      </w:r>
      <w:r>
        <w:rPr>
          <w:rFonts w:ascii="Calibri" w:hAnsi="Calibri"/>
          <w:color w:val="525866"/>
          <w:sz w:val="22"/>
        </w:rPr>
        <w:t xml:space="preserve"> Consumers Energy filed its electric rate case (U-22070) in June 2026, as guided on the Q1 call. </w:t>
      </w:r>
      <w:r>
        <w:rPr>
          <w:rFonts w:ascii="Calibri" w:hAnsi="Calibri"/>
          <w:b/>
          <w:color w:val="525866"/>
          <w:sz w:val="22"/>
        </w:rPr>
        <w:t>Implication:</w:t>
      </w:r>
      <w:r>
        <w:rPr>
          <w:rFonts w:ascii="Calibri" w:hAnsi="Calibri"/>
          <w:color w:val="525866"/>
          <w:sz w:val="22"/>
        </w:rPr>
        <w:t xml:space="preserve"> Consistent with the annual rate case cadence; outcome expected in 2027 and will drive the next leg of rate base recovery.</w:t>
      </w:r>
    </w:p>
    <w:p>
      <w:pPr>
        <w:pStyle w:val="ListBullet"/>
        <w:ind w:left="360" w:hanging="360"/>
      </w:pPr>
      <w:r>
        <w:rPr>
          <w:rFonts w:ascii="Calibri" w:hAnsi="Calibri"/>
          <w:b/>
          <w:color w:val="525866"/>
          <w:sz w:val="22"/>
        </w:rPr>
        <w:t>June 2026 — IRP Filing:</w:t>
      </w:r>
      <w:r>
        <w:rPr>
          <w:rFonts w:ascii="Calibri" w:hAnsi="Calibri"/>
          <w:color w:val="525866"/>
          <w:sz w:val="22"/>
        </w:rPr>
        <w:t xml:space="preserve"> CMS filed its 20-year Integrated Resource Plan in June, including 1.5 GW of new gas capacity, 13 GW of renewables/clean energy, and a growth scenario for data center/manufacturing load. </w:t>
      </w:r>
      <w:r>
        <w:rPr>
          <w:rFonts w:ascii="Calibri" w:hAnsi="Calibri"/>
          <w:b/>
          <w:color w:val="525866"/>
          <w:sz w:val="22"/>
        </w:rPr>
        <w:t>Implication:</w:t>
      </w:r>
      <w:r>
        <w:rPr>
          <w:rFonts w:ascii="Calibri" w:hAnsi="Calibri"/>
          <w:color w:val="525866"/>
          <w:sz w:val="22"/>
        </w:rPr>
        <w:t xml:space="preserve"> Establishes the regulatory framework for the next decade of CapEx; growth scenario could unlock $2–$5B per GW of incremental investment.</w:t>
      </w:r>
    </w:p>
    <w:p>
      <w:pPr>
        <w:pStyle w:val="ListBullet"/>
        <w:ind w:left="360" w:hanging="360"/>
      </w:pPr>
      <w:r>
        <w:rPr>
          <w:rFonts w:ascii="Calibri" w:hAnsi="Calibri"/>
          <w:b/>
          <w:color w:val="525866"/>
          <w:sz w:val="22"/>
        </w:rPr>
        <w:t>May 21, 2026 — Morgan Stanley Sets $77 PT:</w:t>
      </w:r>
      <w:r>
        <w:rPr>
          <w:rFonts w:ascii="Calibri" w:hAnsi="Calibri"/>
          <w:color w:val="525866"/>
          <w:sz w:val="22"/>
        </w:rPr>
        <w:t xml:space="preserve"> Morgan Stanley set a $77 price objective on CMS shares. </w:t>
      </w:r>
      <w:r>
        <w:rPr>
          <w:rFonts w:ascii="Calibri" w:hAnsi="Calibri"/>
          <w:b/>
          <w:color w:val="525866"/>
          <w:sz w:val="22"/>
        </w:rPr>
        <w:t>Implication:</w:t>
      </w:r>
      <w:r>
        <w:rPr>
          <w:rFonts w:ascii="Calibri" w:hAnsi="Calibri"/>
          <w:color w:val="525866"/>
          <w:sz w:val="22"/>
        </w:rPr>
        <w:t xml:space="preserve"> Below-consensus PT reflects more cautious stance on near-term execution.</w:t>
      </w:r>
    </w:p>
    <w:p>
      <w:pPr>
        <w:pStyle w:val="ListBullet"/>
        <w:ind w:left="360" w:hanging="360"/>
      </w:pPr>
      <w:r>
        <w:rPr>
          <w:rFonts w:ascii="Calibri" w:hAnsi="Calibri"/>
          <w:b/>
          <w:color w:val="525866"/>
          <w:sz w:val="22"/>
        </w:rPr>
        <w:t>May 18, 2026 — Truist Cuts PT to $83 (Buy):</w:t>
      </w:r>
      <w:r>
        <w:rPr>
          <w:rFonts w:ascii="Calibri" w:hAnsi="Calibri"/>
          <w:color w:val="525866"/>
          <w:sz w:val="22"/>
        </w:rPr>
        <w:t xml:space="preserve"> Truist Financial dropped its price objective from $86 to $83 while maintaining a Buy rating. </w:t>
      </w:r>
      <w:r>
        <w:rPr>
          <w:rFonts w:ascii="Calibri" w:hAnsi="Calibri"/>
          <w:b/>
          <w:color w:val="525866"/>
          <w:sz w:val="22"/>
        </w:rPr>
        <w:t>Implication:</w:t>
      </w:r>
      <w:r>
        <w:rPr>
          <w:rFonts w:ascii="Calibri" w:hAnsi="Calibri"/>
          <w:color w:val="525866"/>
          <w:sz w:val="22"/>
        </w:rPr>
        <w:t xml:space="preserve"> Reflects Q2 weather/storm headwind but maintains constructive long-term view.</w:t>
      </w:r>
    </w:p>
    <w:p>
      <w:pPr>
        <w:pStyle w:val="ListBullet"/>
        <w:ind w:left="360" w:hanging="360"/>
      </w:pPr>
      <w:r>
        <w:rPr>
          <w:rFonts w:ascii="Calibri" w:hAnsi="Calibri"/>
          <w:b/>
          <w:color w:val="525866"/>
          <w:sz w:val="22"/>
        </w:rPr>
        <w:t>April 21, 2026 — Bank of America Raises PT to $88 (Buy):</w:t>
      </w:r>
      <w:r>
        <w:rPr>
          <w:rFonts w:ascii="Calibri" w:hAnsi="Calibri"/>
          <w:color w:val="525866"/>
          <w:sz w:val="22"/>
        </w:rPr>
        <w:t xml:space="preserve"> BofA boosted its price target from $82 to $88, the most bullish on the Street. </w:t>
      </w:r>
      <w:r>
        <w:rPr>
          <w:rFonts w:ascii="Calibri" w:hAnsi="Calibri"/>
          <w:b/>
          <w:color w:val="525866"/>
          <w:sz w:val="22"/>
        </w:rPr>
        <w:t>Implication:</w:t>
      </w:r>
      <w:r>
        <w:rPr>
          <w:rFonts w:ascii="Calibri" w:hAnsi="Calibri"/>
          <w:color w:val="525866"/>
          <w:sz w:val="22"/>
        </w:rPr>
        <w:t xml:space="preserve"> Reflects confidence in data center pipeline and long-term CapEx growth story.</w:t>
      </w:r>
    </w:p>
    <w:p>
      <w:pPr>
        <w:pStyle w:val="ListBullet"/>
        <w:ind w:left="360" w:hanging="360"/>
      </w:pPr>
      <w:r>
        <w:rPr>
          <w:rFonts w:ascii="Calibri" w:hAnsi="Calibri"/>
          <w:b/>
          <w:color w:val="525866"/>
          <w:sz w:val="22"/>
        </w:rPr>
        <w:t>March 2026 — Moody's Negative Outlook on Utility Sub:</w:t>
      </w:r>
      <w:r>
        <w:rPr>
          <w:rFonts w:ascii="Calibri" w:hAnsi="Calibri"/>
          <w:color w:val="525866"/>
          <w:sz w:val="22"/>
        </w:rPr>
        <w:t xml:space="preserve"> Moody's moved Consumers Energy (utility subsidiary) to a negative outlook, citing the size of the 5-year CapEx plan relative to cost recovery timing. Fitch reaffirmed stable. </w:t>
      </w:r>
      <w:r>
        <w:rPr>
          <w:rFonts w:ascii="Calibri" w:hAnsi="Calibri"/>
          <w:b/>
          <w:color w:val="525866"/>
          <w:sz w:val="22"/>
        </w:rPr>
        <w:t>Implication:</w:t>
      </w:r>
      <w:r>
        <w:rPr>
          <w:rFonts w:ascii="Calibri" w:hAnsi="Calibri"/>
          <w:color w:val="525866"/>
          <w:sz w:val="22"/>
        </w:rPr>
        <w:t xml:space="preserve"> Credit risk to monitor; management is evaluating countermeasures including potential engagement with the MPSC on rate-making capital structure. Any update on this front would be closely watched.</w:t>
      </w:r>
    </w:p>
    <w:p>
      <w:r>
        <w:br w:type="page"/>
      </w:r>
    </w:p>
    <w:p>
      <w:pPr>
        <w:pStyle w:val="Heading2"/>
      </w:pPr>
      <w:r>
        <w:rPr>
          <w:rFonts w:ascii="Calibri" w:hAnsi="Calibri"/>
          <w:b/>
          <w:color w:val="3B4259"/>
          <w:sz w:val="28"/>
        </w:rPr>
        <w:t>7. Peer Commentaries — Read-Through for CMS Q2 2026</w:t>
      </w:r>
    </w:p>
    <w:p>
      <w:r>
        <w:rPr>
          <w:rFonts w:ascii="Calibri" w:hAnsi="Calibri"/>
          <w:b/>
          <w:color w:val="525866"/>
          <w:sz w:val="22"/>
        </w:rPr>
        <w:t xml:space="preserve">Key Takeaway: </w:t>
      </w:r>
      <w:r>
        <w:rPr>
          <w:rFonts w:ascii="Calibri" w:hAnsi="Calibri"/>
          <w:color w:val="525866"/>
          <w:sz w:val="22"/>
        </w:rPr>
        <w:t xml:space="preserve">Commentary from </w:t>
      </w:r>
      <w:r>
        <w:rPr>
          <w:rFonts w:ascii="Calibri" w:hAnsi="Calibri"/>
          <w:b/>
          <w:color w:val="525866"/>
          <w:sz w:val="22"/>
        </w:rPr>
        <w:t>NextEra Energy (NEE, Q2 2026 earnings, July 24)</w:t>
      </w:r>
      <w:r>
        <w:rPr>
          <w:rFonts w:ascii="Calibri" w:hAnsi="Calibri"/>
          <w:color w:val="525866"/>
          <w:sz w:val="22"/>
        </w:rPr>
        <w:t xml:space="preserve"> and </w:t>
      </w:r>
      <w:r>
        <w:rPr>
          <w:rFonts w:ascii="Calibri" w:hAnsi="Calibri"/>
          <w:b/>
          <w:color w:val="525866"/>
          <w:sz w:val="22"/>
        </w:rPr>
        <w:t>Entergy (ETR, Investor Day, June 9)</w:t>
      </w:r>
      <w:r>
        <w:rPr>
          <w:rFonts w:ascii="Calibri" w:hAnsi="Calibri"/>
          <w:color w:val="525866"/>
          <w:sz w:val="22"/>
        </w:rPr>
        <w:t xml:space="preserve"> provides strong read-through for CMS on three themes: (1) data center demand is accelerating and utilities with constructive tariff structures are winning contracts; (2) large load customers paying their "fair share" is becoming industry standard, validating CMS's tariff approach; and (3) the regulatory environment for utilities with significant CapEx programs remains constructive, supporting rate base growth narratives.</w:t>
      </w:r>
    </w:p>
    <w:p>
      <w:pPr>
        <w:pStyle w:val="Heading3"/>
      </w:pPr>
      <w:r>
        <w:rPr>
          <w:rFonts w:ascii="Calibri" w:hAnsi="Calibri"/>
          <w:b/>
          <w:color w:val="3B4259"/>
          <w:sz w:val="24"/>
        </w:rPr>
        <w:t>NextEra Energy (NEE) — Q2 2026 Earnings Call (July 24, 2026)</w:t>
      </w:r>
    </w:p>
    <w:p>
      <w:r>
        <w:rPr>
          <w:rFonts w:ascii="Calibri" w:hAnsi="Calibri"/>
          <w:b/>
          <w:color w:val="525866"/>
          <w:sz w:val="22"/>
        </w:rPr>
        <w:t xml:space="preserve">Read-Through Relevance: </w:t>
      </w:r>
      <w:r>
        <w:rPr>
          <w:rFonts w:ascii="Calibri" w:hAnsi="Calibri"/>
          <w:color w:val="525866"/>
          <w:sz w:val="22"/>
        </w:rPr>
        <w:t>NEE is the largest regulated utility in the U.S. and a bellwether for the sector. Its Q2 2026 commentary on data center demand, large load tariff structures, and regulatory certainty is directly relevant to CMS's current quarter themes and investor debates.</w:t>
      </w:r>
    </w:p>
    <w:p>
      <w:pPr>
        <w:pStyle w:val="ListBullet"/>
        <w:ind w:left="360" w:hanging="360"/>
      </w:pPr>
      <w:r>
        <w:rPr>
          <w:rFonts w:ascii="Calibri" w:hAnsi="Calibri"/>
          <w:b/>
          <w:color w:val="525866"/>
          <w:sz w:val="22"/>
        </w:rPr>
        <w:t>Data Center Demand Accelerating — Positive Read-Through:</w:t>
      </w:r>
      <w:r>
        <w:rPr>
          <w:rFonts w:ascii="Calibri" w:hAnsi="Calibri"/>
          <w:color w:val="525866"/>
          <w:sz w:val="22"/>
        </w:rPr>
        <w:t xml:space="preserve"> FPL updated its large load expectations from 6 GW to 8 GW by 2032 as part of its new four-year rate agreement. FPL currently has ~21 GW of large load interest, with advanced discussions for 12 GW, a portion of which could begin to be served as soon as 2028. NEE expects to announce at least one large load transaction under its tariff by year-end. </w:t>
      </w:r>
      <w:r>
        <w:rPr>
          <w:rFonts w:ascii="Calibri" w:hAnsi="Calibri"/>
          <w:b/>
          <w:color w:val="525866"/>
          <w:sz w:val="22"/>
        </w:rPr>
        <w:t>CMS Read-Through:</w:t>
      </w:r>
      <w:r>
        <w:rPr>
          <w:rFonts w:ascii="Calibri" w:hAnsi="Calibri"/>
          <w:color w:val="525866"/>
          <w:sz w:val="22"/>
        </w:rPr>
        <w:t xml:space="preserve"> Validates CMS's 9+ GW pipeline and 2028 online date for its most advanced data center prospect. The industry-wide acceleration in hyperscaler demand supports CMS's thesis that its Michigan service territory is attracting genuine interest.</w:t>
      </w:r>
    </w:p>
    <w:p>
      <w:pPr>
        <w:pStyle w:val="ListBullet"/>
        <w:ind w:left="360" w:hanging="360"/>
      </w:pPr>
      <w:r>
        <w:rPr>
          <w:rFonts w:ascii="Calibri" w:hAnsi="Calibri"/>
          <w:b/>
          <w:color w:val="525866"/>
          <w:sz w:val="22"/>
        </w:rPr>
        <w:t>"Fair Share" Tariff Structure Becoming Industry Standard — Positive Read-Through:</w:t>
      </w:r>
      <w:r>
        <w:rPr>
          <w:rFonts w:ascii="Calibri" w:hAnsi="Calibri"/>
          <w:color w:val="525866"/>
          <w:sz w:val="22"/>
        </w:rPr>
        <w:t xml:space="preserve"> NEE, along with Dominion Energy and other utilities, announced support for the White House's Ratepayer Protection Pledge, emphasizing that large load customers should pay their fair share. Florida's governor signed a bill in May codifying many aspects of FPL's large load tariff into law. Each GW of large load under FPL's approved tariff is expected to be equivalent to ~$2B of CapEx and earn the same ROE as other FPL investments. </w:t>
      </w:r>
      <w:r>
        <w:rPr>
          <w:rFonts w:ascii="Calibri" w:hAnsi="Calibri"/>
          <w:b/>
          <w:color w:val="525866"/>
          <w:sz w:val="22"/>
        </w:rPr>
        <w:t>CMS Read-Through:</w:t>
      </w:r>
      <w:r>
        <w:rPr>
          <w:rFonts w:ascii="Calibri" w:hAnsi="Calibri"/>
          <w:color w:val="525866"/>
          <w:sz w:val="22"/>
        </w:rPr>
        <w:t xml:space="preserve"> CMS implemented its own large load tariff in November 2025, which management described as "one of the best in the country." NEE's experience confirms that well-structured tariffs protect existing customers and create a clear path for data center economics — directly supporting CMS's regulatory strategy.</w:t>
      </w:r>
    </w:p>
    <w:p>
      <w:pPr>
        <w:pStyle w:val="ListBullet"/>
        <w:ind w:left="360" w:hanging="360"/>
      </w:pPr>
      <w:r>
        <w:rPr>
          <w:rFonts w:ascii="Calibri" w:hAnsi="Calibri"/>
          <w:b/>
          <w:color w:val="525866"/>
          <w:sz w:val="22"/>
        </w:rPr>
        <w:t>Regulatory Capital Employed Growth Driving EPS — Positive Read-Through:</w:t>
      </w:r>
      <w:r>
        <w:rPr>
          <w:rFonts w:ascii="Calibri" w:hAnsi="Calibri"/>
          <w:color w:val="525866"/>
          <w:sz w:val="22"/>
        </w:rPr>
        <w:t xml:space="preserve"> FPL's regulatory capital employed growth of ~9.3% was the primary driver of FPL's Q2 EPS growth. NEE expects to grow adjusted EPS at a CAGR of 8%+ through 2032. </w:t>
      </w:r>
      <w:r>
        <w:rPr>
          <w:rFonts w:ascii="Calibri" w:hAnsi="Calibri"/>
          <w:b/>
          <w:color w:val="525866"/>
          <w:sz w:val="22"/>
        </w:rPr>
        <w:t>CMS Read-Through:</w:t>
      </w:r>
      <w:r>
        <w:rPr>
          <w:rFonts w:ascii="Calibri" w:hAnsi="Calibri"/>
          <w:color w:val="525866"/>
          <w:sz w:val="22"/>
        </w:rPr>
        <w:t xml:space="preserve"> Reinforces the utility sector's rate base growth → EPS growth flywheel. CMS's 6–8% long-term EPS growth target (high end) is well-supported by this sector dynamic.</w:t>
      </w:r>
    </w:p>
    <w:p>
      <w:pPr>
        <w:pStyle w:val="ListBullet"/>
        <w:ind w:left="360" w:hanging="360"/>
      </w:pPr>
      <w:r>
        <w:rPr>
          <w:rFonts w:ascii="Calibri" w:hAnsi="Calibri"/>
          <w:b/>
          <w:color w:val="525866"/>
          <w:sz w:val="22"/>
        </w:rPr>
        <w:t>Affordability Maintained Despite Heavy Investment — Positive Read-Through:</w:t>
      </w:r>
      <w:r>
        <w:rPr>
          <w:rFonts w:ascii="Calibri" w:hAnsi="Calibri"/>
          <w:color w:val="525866"/>
          <w:sz w:val="22"/>
        </w:rPr>
        <w:t xml:space="preserve"> FPL's typical residential bill remains ~30% below the national average and is projected to increase by only 2% annually on average through the end of the decade, despite $12–$13B of annual CapEx. </w:t>
      </w:r>
      <w:r>
        <w:rPr>
          <w:rFonts w:ascii="Calibri" w:hAnsi="Calibri"/>
          <w:b/>
          <w:color w:val="525866"/>
          <w:sz w:val="22"/>
        </w:rPr>
        <w:t>CMS Read-Through:</w:t>
      </w:r>
      <w:r>
        <w:rPr>
          <w:rFonts w:ascii="Calibri" w:hAnsi="Calibri"/>
          <w:color w:val="525866"/>
          <w:sz w:val="22"/>
        </w:rPr>
        <w:t xml:space="preserve"> CMS's affordability narrative (14th lowest electric bill nationally, bills below energy CPI) is consistent with the sector's ability to invest heavily while maintaining customer affordability — a key regulatory and political risk mitigant.</w:t>
      </w:r>
    </w:p>
    <w:p>
      <w:pPr>
        <w:pStyle w:val="ListBullet"/>
        <w:ind w:left="360" w:hanging="360"/>
      </w:pPr>
      <w:r>
        <w:rPr>
          <w:rFonts w:ascii="Calibri" w:hAnsi="Calibri"/>
          <w:b/>
          <w:color w:val="525866"/>
          <w:sz w:val="22"/>
        </w:rPr>
        <w:t>NEE/Dominion Merger Filing — Neutral/Watch:</w:t>
      </w:r>
      <w:r>
        <w:rPr>
          <w:rFonts w:ascii="Calibri" w:hAnsi="Calibri"/>
          <w:color w:val="525866"/>
          <w:sz w:val="22"/>
        </w:rPr>
        <w:t xml:space="preserve"> NEE filed for merger approval with Virginia, North Carolina, and South Carolina regulators on July 15. The combined company is expected to support ~11% annual growth in regulatory capital employed through 2032. </w:t>
      </w:r>
      <w:r>
        <w:rPr>
          <w:rFonts w:ascii="Calibri" w:hAnsi="Calibri"/>
          <w:b/>
          <w:color w:val="525866"/>
          <w:sz w:val="22"/>
        </w:rPr>
        <w:t>CMS Read-Through:</w:t>
      </w:r>
      <w:r>
        <w:rPr>
          <w:rFonts w:ascii="Calibri" w:hAnsi="Calibri"/>
          <w:color w:val="525866"/>
          <w:sz w:val="22"/>
        </w:rPr>
        <w:t xml:space="preserve"> Neutral for CMS directly, but the sector consolidation trend and scale advantages being discussed could eventually affect competitive dynamics for large load customers.</w:t>
      </w:r>
    </w:p>
    <w:p>
      <w:pPr>
        <w:pStyle w:val="Heading3"/>
      </w:pPr>
      <w:r>
        <w:rPr>
          <w:rFonts w:ascii="Calibri" w:hAnsi="Calibri"/>
          <w:b/>
          <w:color w:val="3B4259"/>
          <w:sz w:val="24"/>
        </w:rPr>
        <w:t>Entergy (ETR) — Investor Day (June 9, 2026)</w:t>
      </w:r>
    </w:p>
    <w:p>
      <w:r>
        <w:rPr>
          <w:rFonts w:ascii="Calibri" w:hAnsi="Calibri"/>
          <w:b/>
          <w:color w:val="525866"/>
          <w:sz w:val="22"/>
        </w:rPr>
        <w:t xml:space="preserve">Read-Through Relevance: </w:t>
      </w:r>
      <w:r>
        <w:rPr>
          <w:rFonts w:ascii="Calibri" w:hAnsi="Calibri"/>
          <w:color w:val="525866"/>
          <w:sz w:val="22"/>
        </w:rPr>
        <w:t>ETR's Investor Day provided the most detailed industry data point on data center load growth, CapEx scaling, and the economics of serving hyperscalers. While ETR's service territory (Gulf Coast) differs from CMS's Michigan footprint, the structural dynamics are directly comparable.</w:t>
      </w:r>
    </w:p>
    <w:p>
      <w:pPr>
        <w:pStyle w:val="ListBullet"/>
        <w:ind w:left="360" w:hanging="360"/>
      </w:pPr>
      <w:r>
        <w:rPr>
          <w:rFonts w:ascii="Calibri" w:hAnsi="Calibri"/>
          <w:b/>
          <w:color w:val="525866"/>
          <w:sz w:val="22"/>
        </w:rPr>
        <w:t>Load Growth Doubling — Positive Read-Through:</w:t>
      </w:r>
      <w:r>
        <w:rPr>
          <w:rFonts w:ascii="Calibri" w:hAnsi="Calibri"/>
          <w:color w:val="525866"/>
          <w:sz w:val="22"/>
        </w:rPr>
        <w:t xml:space="preserve"> ETR's retail sales growth has doubled to 9% over the last two years, with 16% industrial growth. The company sold 128 TWh in 2026, a 50%+ increase in just a few years. Sales growth is expected to more than double over the next five years from data centers and traditional industrials. </w:t>
      </w:r>
      <w:r>
        <w:rPr>
          <w:rFonts w:ascii="Calibri" w:hAnsi="Calibri"/>
          <w:b/>
          <w:color w:val="525866"/>
          <w:sz w:val="22"/>
        </w:rPr>
        <w:t>CMS Read-Through:</w:t>
      </w:r>
      <w:r>
        <w:rPr>
          <w:rFonts w:ascii="Calibri" w:hAnsi="Calibri"/>
          <w:color w:val="525866"/>
          <w:sz w:val="22"/>
        </w:rPr>
        <w:t xml:space="preserve"> While CMS's load growth is more modest (2–3% annual target), the ETR data confirms that utilities with attractive service territories and constructive regulatory environments can capture significant incremental load. CMS's 110 MW of signed contracts in Q1 2026 alone (vs. 100 MW all of 2025) suggests its own acceleration is real.</w:t>
      </w:r>
    </w:p>
    <w:p>
      <w:pPr>
        <w:pStyle w:val="ListBullet"/>
        <w:ind w:left="360" w:hanging="360"/>
      </w:pPr>
      <w:r>
        <w:rPr>
          <w:rFonts w:ascii="Calibri" w:hAnsi="Calibri"/>
          <w:b/>
          <w:color w:val="525866"/>
          <w:sz w:val="22"/>
        </w:rPr>
        <w:t>CapEx Plan Doubled to $67B — Positive Read-Through:</w:t>
      </w:r>
      <w:r>
        <w:rPr>
          <w:rFonts w:ascii="Calibri" w:hAnsi="Calibri"/>
          <w:color w:val="525866"/>
          <w:sz w:val="22"/>
        </w:rPr>
        <w:t xml:space="preserve"> ETR's five-year capital plan has doubled to $67B ($13B/year average), projecting a rate base of $97B by 2030 (16% rate base growth, highest in the industry). For every GW of new large load, ETR is investing in CCGTs, transmission, solar, and batteries. </w:t>
      </w:r>
      <w:r>
        <w:rPr>
          <w:rFonts w:ascii="Calibri" w:hAnsi="Calibri"/>
          <w:b/>
          <w:color w:val="525866"/>
          <w:sz w:val="22"/>
        </w:rPr>
        <w:t>CMS Read-Through:</w:t>
      </w:r>
      <w:r>
        <w:rPr>
          <w:rFonts w:ascii="Calibri" w:hAnsi="Calibri"/>
          <w:color w:val="525866"/>
          <w:sz w:val="22"/>
        </w:rPr>
        <w:t xml:space="preserve"> Validates CMS's $2–$5B per GW of incremental CapEx sensitivity. The ETR experience shows that data center load growth can be a genuine CapEx multiplier, not just a revenue story. CMS's current $24B+ 5-year plan could expand materially if data center contracts are finalized.</w:t>
      </w:r>
    </w:p>
    <w:p>
      <w:pPr>
        <w:pStyle w:val="ListBullet"/>
        <w:ind w:left="360" w:hanging="360"/>
      </w:pPr>
      <w:r>
        <w:rPr>
          <w:rFonts w:ascii="Calibri" w:hAnsi="Calibri"/>
          <w:b/>
          <w:color w:val="525866"/>
          <w:sz w:val="22"/>
        </w:rPr>
        <w:t>"Fair Share Plus" Pledge — Positive Read-Through:</w:t>
      </w:r>
      <w:r>
        <w:rPr>
          <w:rFonts w:ascii="Calibri" w:hAnsi="Calibri"/>
          <w:color w:val="525866"/>
          <w:sz w:val="22"/>
        </w:rPr>
        <w:t xml:space="preserve"> ETR's data center customers cover incremental costs AND their share of fixed costs (storm, overhead), projected to result in $7B of savings for existing customers over contract lives. ETR's FRP filed in June had no rate change, attributed to large customers covering embedded costs. </w:t>
      </w:r>
      <w:r>
        <w:rPr>
          <w:rFonts w:ascii="Calibri" w:hAnsi="Calibri"/>
          <w:b/>
          <w:color w:val="525866"/>
          <w:sz w:val="22"/>
        </w:rPr>
        <w:t>CMS Read-Through:</w:t>
      </w:r>
      <w:r>
        <w:rPr>
          <w:rFonts w:ascii="Calibri" w:hAnsi="Calibri"/>
          <w:color w:val="525866"/>
          <w:sz w:val="22"/>
        </w:rPr>
        <w:t xml:space="preserve"> CMS's own tariff structure (each GW of data center load reduces average customer rate by 2% annually over 5 years) is consistent with ETR's approach. The ETR data provides a concrete precedent for how data center economics benefit existing ratepayers — a key argument CMS needs to make to Michigan regulators and communities.</w:t>
      </w:r>
    </w:p>
    <w:p>
      <w:pPr>
        <w:pStyle w:val="ListBullet"/>
        <w:ind w:left="360" w:hanging="360"/>
      </w:pPr>
      <w:r>
        <w:rPr>
          <w:rFonts w:ascii="Calibri" w:hAnsi="Calibri"/>
          <w:b/>
          <w:color w:val="525866"/>
          <w:sz w:val="22"/>
        </w:rPr>
        <w:t>EPS Growth "Nearly Double" Utility Peers — Positive Read-Through:</w:t>
      </w:r>
      <w:r>
        <w:rPr>
          <w:rFonts w:ascii="Calibri" w:hAnsi="Calibri"/>
          <w:color w:val="525866"/>
          <w:sz w:val="22"/>
        </w:rPr>
        <w:t xml:space="preserve"> ETR projects &gt;8% adjusted EPS growth through 2030, with an underlying double-digit growth rate, described as the "highest adjusted EPS growth rate in the industry." The 15–20 GW of potential additional large load is not embedded in the base case. </w:t>
      </w:r>
      <w:r>
        <w:rPr>
          <w:rFonts w:ascii="Calibri" w:hAnsi="Calibri"/>
          <w:b/>
          <w:color w:val="525866"/>
          <w:sz w:val="22"/>
        </w:rPr>
        <w:t>CMS Read-Through:</w:t>
      </w:r>
      <w:r>
        <w:rPr>
          <w:rFonts w:ascii="Calibri" w:hAnsi="Calibri"/>
          <w:color w:val="525866"/>
          <w:sz w:val="22"/>
        </w:rPr>
        <w:t xml:space="preserve"> Reinforces that utilities with significant data center exposure can sustain above-peer EPS growth. CMS's 6–8% (high end) target could have upside if data center contracts are finalized, consistent with management's commentary that each GW of new load drives incremental CapEx well beyond the current plan.</w:t>
      </w:r>
    </w:p>
    <w:p>
      <w:pPr>
        <w:pStyle w:val="ListBullet"/>
        <w:ind w:left="360" w:hanging="360"/>
      </w:pPr>
      <w:r>
        <w:rPr>
          <w:rFonts w:ascii="Calibri" w:hAnsi="Calibri"/>
          <w:b/>
          <w:color w:val="525866"/>
          <w:sz w:val="22"/>
        </w:rPr>
        <w:t>Hyperscaler Partnerships (AWS, Meta) — Positive Read-Through:</w:t>
      </w:r>
      <w:r>
        <w:rPr>
          <w:rFonts w:ascii="Calibri" w:hAnsi="Calibri"/>
          <w:color w:val="525866"/>
          <w:sz w:val="22"/>
        </w:rPr>
        <w:t xml:space="preserve"> ETR hosts AWS (two campuses in Mississippi, expanding to Vicksburg) and Meta (5 GW infrastructure project in Richland Parish, Louisiana — a $50B investment). By 2030, hyperscale customers are expected to represent ~50% of ETR's industrial sales segment. </w:t>
      </w:r>
      <w:r>
        <w:rPr>
          <w:rFonts w:ascii="Calibri" w:hAnsi="Calibri"/>
          <w:b/>
          <w:color w:val="525866"/>
          <w:sz w:val="22"/>
        </w:rPr>
        <w:t>CMS Read-Through:</w:t>
      </w:r>
      <w:r>
        <w:rPr>
          <w:rFonts w:ascii="Calibri" w:hAnsi="Calibri"/>
          <w:color w:val="525866"/>
          <w:sz w:val="22"/>
        </w:rPr>
        <w:t xml:space="preserve"> The scale of hyperscaler commitments to ETR's territory demonstrates that these companies are making multi-decade, multi-billion dollar bets on specific utility service territories. CMS's two hyperscalers in advanced negotiations (one with commercial terms reached on both the extraordinary facilities agreement and rate contract) are following the same playbook. The 2028 online date is consistent with ETR's experience.</w:t>
      </w:r>
    </w:p>
    <w:p>
      <w:r>
        <w:rPr>
          <w:rFonts w:ascii="Calibri" w:hAnsi="Calibri"/>
          <w:i/>
          <w:color w:val="525866"/>
          <w:sz w:val="22"/>
        </w:rPr>
        <w:t>Sources: NextEra Energy Q2 2026 Earnings Call Transcript (July 24, 2026); Entergy Investor Day Transcript (June 9, 2026).</w:t>
      </w:r>
    </w:p>
    <w:p>
      <w:r>
        <w:br w:type="page"/>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