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CMS Energy Corporation (CMS)</w:t>
      </w:r>
    </w:p>
    <w:p>
      <w:pPr>
        <w:pStyle w:val="Heading2"/>
      </w:pPr>
      <w:r>
        <w:rPr>
          <w:rFonts w:ascii="Calibri" w:hAnsi="Calibri"/>
          <w:b/>
          <w:color w:val="3B4259"/>
          <w:sz w:val="28"/>
        </w:rPr>
        <w:t>2Q 2026 Earnings Preview</w:t>
      </w:r>
    </w:p>
    <w:p>
      <w:r>
        <w:rPr>
          <w:rFonts w:ascii="Calibri" w:hAnsi="Calibri"/>
          <w:b/>
          <w:color w:val="525866"/>
          <w:sz w:val="22"/>
        </w:rPr>
        <w:t xml:space="preserve">Earnings Date: </w:t>
      </w:r>
      <w:r>
        <w:rPr>
          <w:rFonts w:ascii="Calibri" w:hAnsi="Calibri"/>
          <w:color w:val="525866"/>
          <w:sz w:val="22"/>
        </w:rPr>
        <w:t xml:space="preserve">July 28, 2026  </w:t>
      </w:r>
      <w:r>
        <w:rPr>
          <w:rFonts w:ascii="Calibri" w:hAnsi="Calibri"/>
          <w:b/>
          <w:color w:val="525866"/>
          <w:sz w:val="22"/>
        </w:rPr>
        <w:t xml:space="preserve">Prepared: </w:t>
      </w:r>
      <w:r>
        <w:rPr>
          <w:rFonts w:ascii="Calibri" w:hAnsi="Calibri"/>
          <w:color w:val="525866"/>
          <w:sz w:val="22"/>
        </w:rPr>
        <w:t xml:space="preserve">July 27, 2026  </w:t>
      </w:r>
      <w:r>
        <w:rPr>
          <w:rFonts w:ascii="Calibri" w:hAnsi="Calibri"/>
          <w:b/>
          <w:color w:val="525866"/>
          <w:sz w:val="22"/>
        </w:rPr>
        <w:t xml:space="preserve">Reporting Period: </w:t>
      </w:r>
      <w:r>
        <w:rPr>
          <w:rFonts w:ascii="Calibri" w:hAnsi="Calibri"/>
          <w:color w:val="525866"/>
          <w:sz w:val="22"/>
        </w:rPr>
        <w:t>2Q 2026 (Quarter Ended June 30, 2026)</w:t>
      </w:r>
    </w:p>
    <w:p>
      <w:r>
        <w:rPr>
          <w:rFonts w:ascii="Calibri" w:hAnsi="Calibri"/>
          <w:b/>
          <w:color w:val="525866"/>
          <w:sz w:val="22"/>
        </w:rPr>
        <w:t xml:space="preserve">Sector: </w:t>
      </w:r>
      <w:r>
        <w:rPr>
          <w:rFonts w:ascii="Calibri" w:hAnsi="Calibri"/>
          <w:color w:val="525866"/>
          <w:sz w:val="22"/>
        </w:rPr>
        <w:t xml:space="preserve">Utilities — Regulated Electric &amp; Gas  </w:t>
      </w:r>
      <w:r>
        <w:rPr>
          <w:rFonts w:ascii="Calibri" w:hAnsi="Calibri"/>
          <w:b/>
          <w:color w:val="525866"/>
          <w:sz w:val="22"/>
        </w:rPr>
        <w:t xml:space="preserve">Primary Valuation Metric: </w:t>
      </w:r>
      <w:r>
        <w:rPr>
          <w:rFonts w:ascii="Calibri" w:hAnsi="Calibri"/>
          <w:color w:val="525866"/>
          <w:sz w:val="22"/>
        </w:rPr>
        <w:t>NTM P/E (currently 18.3×)</w:t>
      </w:r>
    </w:p>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manageable bar and CMS has a strong track record of delivering at the high end of guidance — but the stock has drifted lower since Q1 earnings and the single biggest swing factor is any update on the data center pipeline and the IRP filing.</w:t>
      </w:r>
    </w:p>
    <w:p>
      <w:r>
        <w:rPr>
          <w:rFonts w:ascii="Calibri" w:hAnsi="Calibri"/>
          <w:color w:val="525866"/>
          <w:sz w:val="22"/>
        </w:rPr>
        <w:t xml:space="preserve">Heading into the 2Q26 print, the </w:t>
      </w:r>
      <w:r>
        <w:rPr>
          <w:rFonts w:ascii="Calibri" w:hAnsi="Calibri"/>
          <w:b/>
          <w:color w:val="525866"/>
          <w:sz w:val="22"/>
        </w:rPr>
        <w:t>bar looks achievable</w:t>
      </w:r>
      <w:r>
        <w:rPr>
          <w:rFonts w:ascii="Calibri" w:hAnsi="Calibri"/>
          <w:color w:val="525866"/>
          <w:sz w:val="22"/>
        </w:rPr>
        <w:t xml:space="preserve">: consensus adjusted EPS of ~$0.36 for the quarter is well below the $0.71 reported in 2Q25, reflecting a known seasonal trough and the timing of rate recovery, while the full-year consensus of ~$3.93 sits modestly above the $3.83–$3.90 guidance range management reaffirmed on April 28. </w:t>
      </w:r>
      <w:r>
        <w:rPr>
          <w:rFonts w:ascii="Calibri" w:hAnsi="Calibri"/>
          <w:b/>
          <w:color w:val="525866"/>
          <w:sz w:val="22"/>
        </w:rPr>
        <w:t>Management tone has been consistently confident</w:t>
      </w:r>
      <w:r>
        <w:rPr>
          <w:rFonts w:ascii="Calibri" w:hAnsi="Calibri"/>
          <w:color w:val="525866"/>
          <w:sz w:val="22"/>
        </w:rPr>
        <w:t xml:space="preserve">: on the Q1 call, CEO Garrick Rochow stated the company has "continued confidence toward the high end" of the full-year range, and a June 3 8-K reaffirmed guidance unchanged following the CFO transition from Rejji Hayes to Sri Maddipati. </w:t>
      </w:r>
      <w:r>
        <w:rPr>
          <w:rFonts w:ascii="Calibri" w:hAnsi="Calibri"/>
          <w:b/>
          <w:color w:val="525866"/>
          <w:sz w:val="22"/>
        </w:rPr>
        <w:t>Estimate revisions have been broadly stable</w:t>
      </w:r>
      <w:r>
        <w:rPr>
          <w:rFonts w:ascii="Calibri" w:hAnsi="Calibri"/>
          <w:color w:val="525866"/>
          <w:sz w:val="22"/>
        </w:rPr>
        <w:t xml:space="preserve"> since the Q1 print, with the full-year consensus edging up ~1% from $3.90 to $3.93, suggesting the Street is tracking guidance rather than diverging from it. </w:t>
      </w:r>
      <w:r>
        <w:rPr>
          <w:rFonts w:ascii="Calibri" w:hAnsi="Calibri"/>
          <w:b/>
          <w:color w:val="525866"/>
          <w:sz w:val="22"/>
        </w:rPr>
        <w:t>The stock has underperformed</w:t>
      </w:r>
      <w:r>
        <w:rPr>
          <w:rFonts w:ascii="Calibri" w:hAnsi="Calibri"/>
          <w:color w:val="525866"/>
          <w:sz w:val="22"/>
        </w:rPr>
        <w:t xml:space="preserve"> both XLU and the S&amp;P 500 since the April 28 earnings date, declining ~3% vs. a flat XLU and a +3% S&amp;P 500, with multiple compression across all metrics — the NTM P/E has contracted from ~19.0× to ~18.3× — suggesting the market is not pricing in a beat. </w:t>
      </w:r>
      <w:r>
        <w:rPr>
          <w:rFonts w:ascii="Calibri" w:hAnsi="Calibri"/>
          <w:b/>
          <w:color w:val="525866"/>
          <w:sz w:val="22"/>
        </w:rPr>
        <w:t>The key wildcard</w:t>
      </w:r>
      <w:r>
        <w:rPr>
          <w:rFonts w:ascii="Calibri" w:hAnsi="Calibri"/>
          <w:color w:val="525866"/>
          <w:sz w:val="22"/>
        </w:rPr>
        <w:t xml:space="preserve"> is any incremental update on the two hyperscaler data center contracts (commercial terms reached on both the EFA and rate contract for the lead prospect) and the June IRP filing, which includes a 1.5 GW new gas scenario and a growth scenario for data center/manufacturing load — each GW of new large load represents $2–5B of incremental CapEx opportunity.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adjusted EPS for the quarter (2Q is a seasonal trough), but the full-year bar of ~$3.93 sits slightly above the $3.83–$3.90 guidance range. </w:t>
      </w:r>
      <w:r>
        <w:rPr>
          <w:rFonts w:ascii="Calibri" w:hAnsi="Calibri"/>
          <w:b/>
          <w:color w:val="525866"/>
          <w:sz w:val="22"/>
        </w:rPr>
        <w:t>Electric deliveries and CapEx execution</w:t>
      </w:r>
      <w:r>
        <w:rPr>
          <w:rFonts w:ascii="Calibri" w:hAnsi="Calibri"/>
          <w:color w:val="525866"/>
          <w:sz w:val="22"/>
        </w:rPr>
        <w:t xml:space="preserve"> are the secondary swing factors — load growth commentary will be closely watched.</w:t>
      </w:r>
    </w:p>
    <w:p>
      <w:pPr>
        <w:pStyle w:val="Heading3"/>
      </w:pPr>
      <w:r>
        <w:rPr>
          <w:rFonts w:ascii="Calibri" w:hAnsi="Calibri"/>
          <w:b/>
          <w:color w:val="3B4259"/>
          <w:sz w:val="24"/>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w:t>
            </w:r>
          </w:p>
        </w:tc>
        <w:tc>
          <w:tcPr>
            <w:tcW w:type="dxa" w:w="1234"/>
            <w:shd w:val="clear" w:color="auto" w:fill="3B4259"/>
          </w:tcPr>
          <w:p>
            <w:r>
              <w:rPr>
                <w:rFonts w:ascii="Calibri" w:hAnsi="Calibri"/>
                <w:b/>
                <w:color w:val="FFFFFF"/>
                <w:sz w:val="22"/>
              </w:rPr>
              <w:t>2Q 2025 Actual</w:t>
            </w:r>
          </w:p>
        </w:tc>
        <w:tc>
          <w:tcPr>
            <w:tcW w:type="dxa" w:w="1234"/>
            <w:shd w:val="clear" w:color="auto" w:fill="3B4259"/>
          </w:tcPr>
          <w:p>
            <w:r>
              <w:rPr>
                <w:rFonts w:ascii="Calibri" w:hAnsi="Calibri"/>
                <w:b/>
                <w:color w:val="FFFFFF"/>
                <w:sz w:val="22"/>
              </w:rPr>
              <w:t>2Q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Adjusted EPS (Diluted Operating)</w:t>
            </w:r>
          </w:p>
        </w:tc>
        <w:tc>
          <w:tcPr>
            <w:tcW w:type="dxa" w:w="1234"/>
          </w:tcPr>
          <w:p>
            <w:r>
              <w:rPr>
                <w:rFonts w:ascii="Calibri" w:hAnsi="Calibri"/>
                <w:sz w:val="22"/>
              </w:rPr>
              <w:t>$1.13</w:t>
            </w:r>
          </w:p>
        </w:tc>
        <w:tc>
          <w:tcPr>
            <w:tcW w:type="dxa" w:w="1234"/>
          </w:tcPr>
          <w:p>
            <w:r>
              <w:rPr>
                <w:rFonts w:ascii="Calibri" w:hAnsi="Calibri"/>
                <w:sz w:val="22"/>
              </w:rPr>
              <w:t>$0.72</w:t>
            </w:r>
          </w:p>
        </w:tc>
        <w:tc>
          <w:tcPr>
            <w:tcW w:type="dxa" w:w="1234"/>
          </w:tcPr>
          <w:p>
            <w:r>
              <w:rPr>
                <w:rFonts w:ascii="Calibri" w:hAnsi="Calibri"/>
                <w:sz w:val="22"/>
              </w:rPr>
              <w:t>$0.36</w:t>
            </w:r>
          </w:p>
        </w:tc>
        <w:tc>
          <w:tcPr>
            <w:tcW w:type="dxa" w:w="1234"/>
          </w:tcPr>
          <w:p>
            <w:r>
              <w:rPr>
                <w:rFonts w:ascii="Calibri" w:hAnsi="Calibri"/>
                <w:sz w:val="22"/>
              </w:rPr>
              <w:t>-50%</w:t>
            </w:r>
          </w:p>
        </w:tc>
        <w:tc>
          <w:tcPr>
            <w:tcW w:type="dxa" w:w="1234"/>
          </w:tcPr>
          <w:p>
            <w:r>
              <w:rPr>
                <w:rFonts w:ascii="Calibri" w:hAnsi="Calibri"/>
                <w:sz w:val="22"/>
              </w:rPr>
              <w:t>$3.83–$3.90</w:t>
            </w:r>
          </w:p>
        </w:tc>
        <w:tc>
          <w:tcPr>
            <w:tcW w:type="dxa" w:w="1234"/>
          </w:tcPr>
          <w:p>
            <w:r>
              <w:rPr>
                <w:rFonts w:ascii="Calibri" w:hAnsi="Calibri"/>
                <w:sz w:val="22"/>
              </w:rPr>
              <w:t>FY cons. $3.93 = +1.0% above midpoint</w:t>
            </w:r>
          </w:p>
        </w:tc>
      </w:tr>
      <w:tr>
        <w:tc>
          <w:tcPr>
            <w:tcW w:type="dxa" w:w="1234"/>
          </w:tcPr>
          <w:p>
            <w:r>
              <w:rPr>
                <w:rFonts w:ascii="Calibri" w:hAnsi="Calibri"/>
                <w:sz w:val="22"/>
              </w:rPr>
              <w:t>Operating Revenue</w:t>
            </w:r>
          </w:p>
        </w:tc>
        <w:tc>
          <w:tcPr>
            <w:tcW w:type="dxa" w:w="1234"/>
          </w:tcPr>
          <w:p>
            <w:r>
              <w:rPr>
                <w:rFonts w:ascii="Calibri" w:hAnsi="Calibri"/>
                <w:sz w:val="22"/>
              </w:rPr>
              <w:t>$2,730M</w:t>
            </w:r>
          </w:p>
        </w:tc>
        <w:tc>
          <w:tcPr>
            <w:tcW w:type="dxa" w:w="1234"/>
          </w:tcPr>
          <w:p>
            <w:r>
              <w:rPr>
                <w:rFonts w:ascii="Calibri" w:hAnsi="Calibri"/>
                <w:sz w:val="22"/>
              </w:rPr>
              <w:t>$1,838M</w:t>
            </w:r>
          </w:p>
        </w:tc>
        <w:tc>
          <w:tcPr>
            <w:tcW w:type="dxa" w:w="1234"/>
          </w:tcPr>
          <w:p>
            <w:r>
              <w:rPr>
                <w:rFonts w:ascii="Calibri" w:hAnsi="Calibri"/>
                <w:sz w:val="22"/>
              </w:rPr>
              <w:t>$1,776M</w:t>
            </w:r>
          </w:p>
        </w:tc>
        <w:tc>
          <w:tcPr>
            <w:tcW w:type="dxa" w:w="1234"/>
          </w:tcPr>
          <w:p>
            <w:r>
              <w:rPr>
                <w:rFonts w:ascii="Calibri" w:hAnsi="Calibri"/>
                <w:sz w:val="22"/>
              </w:rPr>
              <w:t>-3.4%</w:t>
            </w:r>
          </w:p>
        </w:tc>
        <w:tc>
          <w:tcPr>
            <w:tcW w:type="dxa" w:w="1234"/>
          </w:tcPr>
          <w:p>
            <w:r>
              <w:rPr>
                <w:rFonts w:ascii="Calibri" w:hAnsi="Calibri"/>
                <w:sz w:val="22"/>
              </w:rPr>
              <w:t>N/A (quarterly)</w:t>
            </w:r>
          </w:p>
        </w:tc>
        <w:tc>
          <w:tcPr>
            <w:tcW w:type="dxa" w:w="1234"/>
          </w:tcPr>
          <w:p>
            <w:r>
              <w:rPr>
                <w:rFonts w:ascii="Calibri" w:hAnsi="Calibri"/>
                <w:sz w:val="22"/>
              </w:rPr>
              <w:t>N/A</w:t>
            </w:r>
          </w:p>
        </w:tc>
      </w:tr>
      <w:tr>
        <w:tc>
          <w:tcPr>
            <w:tcW w:type="dxa" w:w="1234"/>
          </w:tcPr>
          <w:p>
            <w:r>
              <w:rPr>
                <w:rFonts w:ascii="Calibri" w:hAnsi="Calibri"/>
                <w:sz w:val="22"/>
              </w:rPr>
              <w:t>Electric Deliveries — Total Customer (GWh)</w:t>
            </w:r>
          </w:p>
        </w:tc>
        <w:tc>
          <w:tcPr>
            <w:tcW w:type="dxa" w:w="1234"/>
          </w:tcPr>
          <w:p>
            <w:r>
              <w:rPr>
                <w:rFonts w:ascii="Calibri" w:hAnsi="Calibri"/>
                <w:sz w:val="22"/>
              </w:rPr>
              <w:t>8,930 GWh</w:t>
            </w:r>
          </w:p>
        </w:tc>
        <w:tc>
          <w:tcPr>
            <w:tcW w:type="dxa" w:w="1234"/>
          </w:tcPr>
          <w:p>
            <w:r>
              <w:rPr>
                <w:rFonts w:ascii="Calibri" w:hAnsi="Calibri"/>
                <w:sz w:val="22"/>
              </w:rPr>
              <w:t>8,948 GWh</w:t>
            </w:r>
          </w:p>
        </w:tc>
        <w:tc>
          <w:tcPr>
            <w:tcW w:type="dxa" w:w="1234"/>
          </w:tcPr>
          <w:p>
            <w:r>
              <w:rPr>
                <w:rFonts w:ascii="Calibri" w:hAnsi="Calibri"/>
                <w:sz w:val="22"/>
              </w:rPr>
              <w:t>9,382 GWh</w:t>
            </w:r>
          </w:p>
        </w:tc>
        <w:tc>
          <w:tcPr>
            <w:tcW w:type="dxa" w:w="1234"/>
          </w:tcPr>
          <w:p>
            <w:r>
              <w:rPr>
                <w:rFonts w:ascii="Calibri" w:hAnsi="Calibri"/>
                <w:sz w:val="22"/>
              </w:rPr>
              <w:t>+4.8%</w:t>
            </w:r>
          </w:p>
        </w:tc>
        <w:tc>
          <w:tcPr>
            <w:tcW w:type="dxa" w:w="1234"/>
          </w:tcPr>
          <w:p>
            <w:r>
              <w:rPr>
                <w:rFonts w:ascii="Calibri" w:hAnsi="Calibri"/>
                <w:sz w:val="22"/>
              </w:rPr>
              <w:t>N/A (quarterly)</w:t>
            </w:r>
          </w:p>
        </w:tc>
        <w:tc>
          <w:tcPr>
            <w:tcW w:type="dxa" w:w="1234"/>
          </w:tcPr>
          <w:p>
            <w:r>
              <w:rPr>
                <w:rFonts w:ascii="Calibri" w:hAnsi="Calibri"/>
                <w:sz w:val="22"/>
              </w:rPr>
              <w:t>N/A</w:t>
            </w:r>
          </w:p>
        </w:tc>
      </w:tr>
      <w:tr>
        <w:tc>
          <w:tcPr>
            <w:tcW w:type="dxa" w:w="1234"/>
          </w:tcPr>
          <w:p>
            <w:r>
              <w:rPr>
                <w:rFonts w:ascii="Calibri" w:hAnsi="Calibri"/>
                <w:sz w:val="22"/>
              </w:rPr>
              <w:t>Capital Expenditures</w:t>
            </w:r>
          </w:p>
        </w:tc>
        <w:tc>
          <w:tcPr>
            <w:tcW w:type="dxa" w:w="1234"/>
          </w:tcPr>
          <w:p>
            <w:r>
              <w:rPr>
                <w:rFonts w:ascii="Calibri" w:hAnsi="Calibri"/>
                <w:sz w:val="22"/>
              </w:rPr>
              <w:t>$1,039M</w:t>
            </w:r>
          </w:p>
        </w:tc>
        <w:tc>
          <w:tcPr>
            <w:tcW w:type="dxa" w:w="1234"/>
          </w:tcPr>
          <w:p>
            <w:r>
              <w:rPr>
                <w:rFonts w:ascii="Calibri" w:hAnsi="Calibri"/>
                <w:sz w:val="22"/>
              </w:rPr>
              <w:t>$884M</w:t>
            </w:r>
          </w:p>
        </w:tc>
        <w:tc>
          <w:tcPr>
            <w:tcW w:type="dxa" w:w="1234"/>
          </w:tcPr>
          <w:p>
            <w:r>
              <w:rPr>
                <w:rFonts w:ascii="Calibri" w:hAnsi="Calibri"/>
                <w:sz w:val="22"/>
              </w:rPr>
              <w:t>$1,065M</w:t>
            </w:r>
          </w:p>
        </w:tc>
        <w:tc>
          <w:tcPr>
            <w:tcW w:type="dxa" w:w="1234"/>
          </w:tcPr>
          <w:p>
            <w:r>
              <w:rPr>
                <w:rFonts w:ascii="Calibri" w:hAnsi="Calibri"/>
                <w:sz w:val="22"/>
              </w:rPr>
              <w:t>+20.5%</w:t>
            </w:r>
          </w:p>
        </w:tc>
        <w:tc>
          <w:tcPr>
            <w:tcW w:type="dxa" w:w="1234"/>
          </w:tcPr>
          <w:p>
            <w:r>
              <w:rPr>
                <w:rFonts w:ascii="Calibri" w:hAnsi="Calibri"/>
                <w:sz w:val="22"/>
              </w:rPr>
              <w:t>~$4.3B FY (cons.)</w:t>
            </w:r>
          </w:p>
        </w:tc>
        <w:tc>
          <w:tcPr>
            <w:tcW w:type="dxa" w:w="1234"/>
          </w:tcPr>
          <w:p>
            <w:r>
              <w:rPr>
                <w:rFonts w:ascii="Calibri" w:hAnsi="Calibri"/>
                <w:sz w:val="22"/>
              </w:rPr>
              <w:t>N/A</w:t>
            </w:r>
          </w:p>
        </w:tc>
      </w:tr>
      <w:tr>
        <w:tc>
          <w:tcPr>
            <w:tcW w:type="dxa" w:w="1234"/>
          </w:tcPr>
          <w:p>
            <w:r>
              <w:rPr>
                <w:rFonts w:ascii="Calibri" w:hAnsi="Calibri"/>
                <w:sz w:val="22"/>
              </w:rPr>
              <w:t>FFO / Total Debt</w:t>
            </w:r>
          </w:p>
        </w:tc>
        <w:tc>
          <w:tcPr>
            <w:tcW w:type="dxa" w:w="1234"/>
          </w:tcPr>
          <w:p>
            <w:r>
              <w:rPr>
                <w:rFonts w:ascii="Calibri" w:hAnsi="Calibri"/>
                <w:sz w:val="22"/>
              </w:rPr>
              <w:t>13.1% (LTM)</w:t>
            </w:r>
          </w:p>
        </w:tc>
        <w:tc>
          <w:tcPr>
            <w:tcW w:type="dxa" w:w="1234"/>
          </w:tcPr>
          <w:p>
            <w:r>
              <w:rPr>
                <w:rFonts w:ascii="Calibri" w:hAnsi="Calibri"/>
                <w:sz w:val="22"/>
              </w:rPr>
              <w:t>12.9% (LTM)</w:t>
            </w:r>
          </w:p>
        </w:tc>
        <w:tc>
          <w:tcPr>
            <w:tcW w:type="dxa" w:w="1234"/>
          </w:tcPr>
          <w:p>
            <w:r>
              <w:rPr>
                <w:rFonts w:ascii="Calibri" w:hAnsi="Calibri"/>
                <w:sz w:val="22"/>
              </w:rPr>
              <w:t>~12.0% (cons.)</w:t>
            </w:r>
          </w:p>
        </w:tc>
        <w:tc>
          <w:tcPr>
            <w:tcW w:type="dxa" w:w="1234"/>
          </w:tcPr>
          <w:p>
            <w:r>
              <w:rPr>
                <w:rFonts w:ascii="Calibri" w:hAnsi="Calibri"/>
                <w:sz w:val="22"/>
              </w:rPr>
              <w:t>~-90 bps</w:t>
            </w:r>
          </w:p>
        </w:tc>
        <w:tc>
          <w:tcPr>
            <w:tcW w:type="dxa" w:w="1234"/>
          </w:tcPr>
          <w:p>
            <w:r>
              <w:rPr>
                <w:rFonts w:ascii="Calibri" w:hAnsi="Calibri"/>
                <w:sz w:val="22"/>
              </w:rPr>
              <w:t>Mid-teens target</w:t>
            </w:r>
          </w:p>
        </w:tc>
        <w:tc>
          <w:tcPr>
            <w:tcW w:type="dxa" w:w="1234"/>
          </w:tcPr>
          <w:p>
            <w:r>
              <w:rPr>
                <w:rFonts w:ascii="Calibri" w:hAnsi="Calibri"/>
                <w:sz w:val="22"/>
              </w:rPr>
              <w:t>Below target; Moody’s watching</w:t>
            </w:r>
          </w:p>
        </w:tc>
      </w:tr>
    </w:tbl>
    <w:p>
      <w:r>
        <w:rPr>
          <w:rFonts w:ascii="Calibri" w:hAnsi="Calibri"/>
          <w:i/>
          <w:color w:val="525866"/>
          <w:sz w:val="22"/>
        </w:rPr>
        <w:t xml:space="preserve">Source: Visible Alpha Consensus and Actuals Data. </w:t>
      </w:r>
      <w:r>
        <w:rPr>
          <w:rFonts w:ascii="Calibri" w:hAnsi="Calibri"/>
          <w:i/>
          <w:color w:val="525866"/>
          <w:sz w:val="22"/>
        </w:rPr>
        <w:t>Note: 2Q 2026 quarterly adjusted EPS consensus of $0.36 reflects a known seasonal trough; the more meaningful bar is the full-year $3.93 consensus vs. $3.83–$3.90 guidance. Revenue consensus of $1,776M for 2Q26 is below 2Q25 actuals of $1,838M, reflecting seasonal patterns. Electric deliveries consensus of 9,382 GWh implies +4.8% YoY growth, consistent with management’s 2–3% annual sales growth target.</w:t>
      </w:r>
    </w:p>
    <w:p>
      <w:pPr>
        <w:pStyle w:val="Heading3"/>
      </w:pPr>
      <w:r>
        <w:rPr>
          <w:rFonts w:ascii="Calibri" w:hAnsi="Calibri"/>
          <w:b/>
          <w:color w:val="3B4259"/>
          <w:sz w:val="24"/>
        </w:rPr>
        <w:t>Table 2 — Beat/Miss History: Adjusted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Adj. EPS</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$1.13</w:t>
            </w:r>
          </w:p>
        </w:tc>
        <w:tc>
          <w:tcPr>
            <w:tcW w:type="dxa" w:w="1728"/>
          </w:tcPr>
          <w:p>
            <w:r>
              <w:rPr>
                <w:rFonts w:ascii="Calibri" w:hAnsi="Calibri"/>
                <w:sz w:val="22"/>
              </w:rPr>
              <w:t>$1.09</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4Q 2025</w:t>
            </w:r>
          </w:p>
        </w:tc>
        <w:tc>
          <w:tcPr>
            <w:tcW w:type="dxa" w:w="1728"/>
          </w:tcPr>
          <w:p>
            <w:r>
              <w:rPr>
                <w:rFonts w:ascii="Calibri" w:hAnsi="Calibri"/>
                <w:sz w:val="22"/>
              </w:rPr>
              <w:t>$0.95</w:t>
            </w:r>
          </w:p>
        </w:tc>
        <w:tc>
          <w:tcPr>
            <w:tcW w:type="dxa" w:w="1728"/>
          </w:tcPr>
          <w:p>
            <w:r>
              <w:rPr>
                <w:rFonts w:ascii="Calibri" w:hAnsi="Calibri"/>
                <w:sz w:val="22"/>
              </w:rPr>
              <w:t>$0.93</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3Q 2025</w:t>
            </w:r>
          </w:p>
        </w:tc>
        <w:tc>
          <w:tcPr>
            <w:tcW w:type="dxa" w:w="1728"/>
          </w:tcPr>
          <w:p>
            <w:r>
              <w:rPr>
                <w:rFonts w:ascii="Calibri" w:hAnsi="Calibri"/>
                <w:sz w:val="22"/>
              </w:rPr>
              <w:t>$0.93</w:t>
            </w:r>
          </w:p>
        </w:tc>
        <w:tc>
          <w:tcPr>
            <w:tcW w:type="dxa" w:w="1728"/>
          </w:tcPr>
          <w:p>
            <w:r>
              <w:rPr>
                <w:rFonts w:ascii="Calibri" w:hAnsi="Calibri"/>
                <w:sz w:val="22"/>
              </w:rPr>
              <w:t>$0.88</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2Q 2025</w:t>
            </w:r>
          </w:p>
        </w:tc>
        <w:tc>
          <w:tcPr>
            <w:tcW w:type="dxa" w:w="1728"/>
          </w:tcPr>
          <w:p>
            <w:r>
              <w:rPr>
                <w:rFonts w:ascii="Calibri" w:hAnsi="Calibri"/>
                <w:sz w:val="22"/>
              </w:rPr>
              <w:t>$0.72</w:t>
            </w:r>
          </w:p>
        </w:tc>
        <w:tc>
          <w:tcPr>
            <w:tcW w:type="dxa" w:w="1728"/>
          </w:tcPr>
          <w:p>
            <w:r>
              <w:rPr>
                <w:rFonts w:ascii="Calibri" w:hAnsi="Calibri"/>
                <w:sz w:val="22"/>
              </w:rPr>
              <w:t>$0.67</w:t>
            </w:r>
          </w:p>
        </w:tc>
        <w:tc>
          <w:tcPr>
            <w:tcW w:type="dxa" w:w="1728"/>
          </w:tcPr>
          <w:p>
            <w:r>
              <w:rPr>
                <w:rFonts w:ascii="Calibri" w:hAnsi="Calibri"/>
                <w:b/>
                <w:color w:val="30A46C"/>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1Q 2025</w:t>
            </w:r>
          </w:p>
        </w:tc>
        <w:tc>
          <w:tcPr>
            <w:tcW w:type="dxa" w:w="1728"/>
          </w:tcPr>
          <w:p>
            <w:r>
              <w:rPr>
                <w:rFonts w:ascii="Calibri" w:hAnsi="Calibri"/>
                <w:sz w:val="22"/>
              </w:rPr>
              <w:t>$1.02</w:t>
            </w:r>
          </w:p>
        </w:tc>
        <w:tc>
          <w:tcPr>
            <w:tcW w:type="dxa" w:w="1728"/>
          </w:tcPr>
          <w:p>
            <w:r>
              <w:rPr>
                <w:rFonts w:ascii="Calibri" w:hAnsi="Calibri"/>
                <w:sz w:val="22"/>
              </w:rPr>
              <w:t>$1.00</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4Q 2024</w:t>
            </w:r>
          </w:p>
        </w:tc>
        <w:tc>
          <w:tcPr>
            <w:tcW w:type="dxa" w:w="1728"/>
          </w:tcPr>
          <w:p>
            <w:r>
              <w:rPr>
                <w:rFonts w:ascii="Calibri" w:hAnsi="Calibri"/>
                <w:sz w:val="22"/>
              </w:rPr>
              <w:t>$0.87</w:t>
            </w:r>
          </w:p>
        </w:tc>
        <w:tc>
          <w:tcPr>
            <w:tcW w:type="dxa" w:w="1728"/>
          </w:tcPr>
          <w:p>
            <w:r>
              <w:rPr>
                <w:rFonts w:ascii="Calibri" w:hAnsi="Calibri"/>
                <w:sz w:val="22"/>
              </w:rPr>
              <w:t>$0.87</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3Q 2024</w:t>
            </w:r>
          </w:p>
        </w:tc>
        <w:tc>
          <w:tcPr>
            <w:tcW w:type="dxa" w:w="1728"/>
          </w:tcPr>
          <w:p>
            <w:r>
              <w:rPr>
                <w:rFonts w:ascii="Calibri" w:hAnsi="Calibri"/>
                <w:sz w:val="22"/>
              </w:rPr>
              <w:t>$0.84</w:t>
            </w:r>
          </w:p>
        </w:tc>
        <w:tc>
          <w:tcPr>
            <w:tcW w:type="dxa" w:w="1728"/>
          </w:tcPr>
          <w:p>
            <w:r>
              <w:rPr>
                <w:rFonts w:ascii="Calibri" w:hAnsi="Calibri"/>
                <w:sz w:val="22"/>
              </w:rPr>
              <w:t>$0.78</w:t>
            </w:r>
          </w:p>
        </w:tc>
        <w:tc>
          <w:tcPr>
            <w:tcW w:type="dxa" w:w="1728"/>
          </w:tcPr>
          <w:p>
            <w:r>
              <w:rPr>
                <w:rFonts w:ascii="Calibri" w:hAnsi="Calibri"/>
                <w:b/>
                <w:color w:val="30A46C"/>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2Q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Pattern: CMS has beaten adjusted EPS consensus in 6 of the last 7 reported quarters, with an average beat of ~4%. The company’s stated policy of compounding off actuals (rather than guidance midpoints) reinforces the structural tendency to beat. The 2Q seasonal trough makes the quarterly bar less meaningful than the full-year trajectory.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April 28 Q1 earnings call. The only post-earnings development was a CFO transition (Rejji Hayes → Sri Maddipati, effective June 3), accompanied by a reaffirmation of all financial objectives. </w:t>
      </w:r>
      <w:r>
        <w:rPr>
          <w:rFonts w:ascii="Calibri" w:hAnsi="Calibri"/>
          <w:b/>
          <w:color w:val="525866"/>
          <w:sz w:val="22"/>
        </w:rPr>
        <w:t>Tone remains confident toward the high end of the $3.83–$3.90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28, 2026 Q1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$3.83–$3.90; confidence toward high end</w:t>
            </w:r>
          </w:p>
        </w:tc>
        <w:tc>
          <w:tcPr>
            <w:tcW w:type="dxa" w:w="1728"/>
          </w:tcPr>
          <w:p>
            <w:r>
              <w:rPr>
                <w:rFonts w:ascii="Calibri" w:hAnsi="Calibri"/>
                <w:sz w:val="22"/>
              </w:rPr>
              <w:t>— Unchanged</w:t>
            </w:r>
          </w:p>
        </w:tc>
        <w:tc>
          <w:tcPr>
            <w:tcW w:type="dxa" w:w="1728"/>
          </w:tcPr>
          <w:p>
            <w:r>
              <w:rPr>
                <w:rFonts w:ascii="Calibri" w:hAnsi="Calibri"/>
                <w:sz w:val="22"/>
              </w:rPr>
              <w:t>$3.93</w:t>
            </w:r>
          </w:p>
        </w:tc>
        <w:tc>
          <w:tcPr>
            <w:tcW w:type="dxa" w:w="1728"/>
          </w:tcPr>
          <w:p>
            <w:r>
              <w:rPr>
                <w:rFonts w:ascii="Calibri" w:hAnsi="Calibri"/>
                <w:sz w:val="22"/>
              </w:rPr>
              <w:t>Reaffirmed via 8-K Jun 3, 2026 (CFO transition); tone unchanged</w:t>
            </w:r>
          </w:p>
        </w:tc>
      </w:tr>
      <w:tr>
        <w:tc>
          <w:tcPr>
            <w:tcW w:type="dxa" w:w="1728"/>
          </w:tcPr>
          <w:p>
            <w:r>
              <w:rPr>
                <w:rFonts w:ascii="Calibri" w:hAnsi="Calibri"/>
                <w:sz w:val="22"/>
              </w:rPr>
              <w:t>Long-Term Adj. EPS Growth</w:t>
            </w:r>
          </w:p>
        </w:tc>
        <w:tc>
          <w:tcPr>
            <w:tcW w:type="dxa" w:w="1728"/>
          </w:tcPr>
          <w:p>
            <w:r>
              <w:rPr>
                <w:rFonts w:ascii="Calibri" w:hAnsi="Calibri"/>
                <w:sz w:val="22"/>
              </w:rPr>
              <w:t>6–8%, toward high end</w:t>
            </w:r>
          </w:p>
        </w:tc>
        <w:tc>
          <w:tcPr>
            <w:tcW w:type="dxa" w:w="1728"/>
          </w:tcPr>
          <w:p>
            <w:r>
              <w:rPr>
                <w:rFonts w:ascii="Calibri" w:hAnsi="Calibri"/>
                <w:sz w:val="22"/>
              </w:rPr>
              <w:t>— Unchanged</w:t>
            </w:r>
          </w:p>
        </w:tc>
        <w:tc>
          <w:tcPr>
            <w:tcW w:type="dxa" w:w="1728"/>
          </w:tcPr>
          <w:p>
            <w:r>
              <w:rPr>
                <w:rFonts w:ascii="Calibri" w:hAnsi="Calibri"/>
                <w:sz w:val="22"/>
              </w:rPr>
              <w:t>Consistent with high end</w:t>
            </w:r>
          </w:p>
        </w:tc>
        <w:tc>
          <w:tcPr>
            <w:tcW w:type="dxa" w:w="1728"/>
          </w:tcPr>
          <w:p>
            <w:r>
              <w:rPr>
                <w:rFonts w:ascii="Calibri" w:hAnsi="Calibri"/>
                <w:sz w:val="22"/>
              </w:rPr>
              <w:t>No change; management compounding off actuals</w:t>
            </w:r>
          </w:p>
        </w:tc>
      </w:tr>
      <w:tr>
        <w:tc>
          <w:tcPr>
            <w:tcW w:type="dxa" w:w="1728"/>
          </w:tcPr>
          <w:p>
            <w:r>
              <w:rPr>
                <w:rFonts w:ascii="Calibri" w:hAnsi="Calibri"/>
                <w:sz w:val="22"/>
              </w:rPr>
              <w:t>5-Year Utility CapEx Plan</w:t>
            </w:r>
          </w:p>
        </w:tc>
        <w:tc>
          <w:tcPr>
            <w:tcW w:type="dxa" w:w="1728"/>
          </w:tcPr>
          <w:p>
            <w:r>
              <w:rPr>
                <w:rFonts w:ascii="Calibri" w:hAnsi="Calibri"/>
                <w:sz w:val="22"/>
              </w:rPr>
              <w:t>$24B (2026–2030); $25B+ additional identified</w:t>
            </w:r>
          </w:p>
        </w:tc>
        <w:tc>
          <w:tcPr>
            <w:tcW w:type="dxa" w:w="1728"/>
          </w:tcPr>
          <w:p>
            <w:r>
              <w:rPr>
                <w:rFonts w:ascii="Calibri" w:hAnsi="Calibri"/>
                <w:sz w:val="22"/>
              </w:rPr>
              <w:t>— Unchanged</w:t>
            </w:r>
          </w:p>
        </w:tc>
        <w:tc>
          <w:tcPr>
            <w:tcW w:type="dxa" w:w="1728"/>
          </w:tcPr>
          <w:p>
            <w:r>
              <w:rPr>
                <w:rFonts w:ascii="Calibri" w:hAnsi="Calibri"/>
                <w:sz w:val="22"/>
              </w:rPr>
              <w:t>~$4.3B FY 2026 (cons.)</w:t>
            </w:r>
          </w:p>
        </w:tc>
        <w:tc>
          <w:tcPr>
            <w:tcW w:type="dxa" w:w="1728"/>
          </w:tcPr>
          <w:p>
            <w:r>
              <w:rPr>
                <w:rFonts w:ascii="Calibri" w:hAnsi="Calibri"/>
                <w:sz w:val="22"/>
              </w:rPr>
              <w:t>IRP filing (June 2026) expected to detail growth scenario; next catalyst</w:t>
            </w:r>
          </w:p>
        </w:tc>
      </w:tr>
      <w:tr>
        <w:tc>
          <w:tcPr>
            <w:tcW w:type="dxa" w:w="1728"/>
          </w:tcPr>
          <w:p>
            <w:r>
              <w:rPr>
                <w:rFonts w:ascii="Calibri" w:hAnsi="Calibri"/>
                <w:sz w:val="22"/>
              </w:rPr>
              <w:t>Annual Sales Growth</w:t>
            </w:r>
          </w:p>
        </w:tc>
        <w:tc>
          <w:tcPr>
            <w:tcW w:type="dxa" w:w="1728"/>
          </w:tcPr>
          <w:p>
            <w:r>
              <w:rPr>
                <w:rFonts w:ascii="Calibri" w:hAnsi="Calibri"/>
                <w:sz w:val="22"/>
              </w:rPr>
              <w:t>2–3% run rate as large projects come online</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110 MW signed in Q1 alone vs. ~100 MW all of prior year</w:t>
            </w:r>
          </w:p>
        </w:tc>
      </w:tr>
      <w:tr>
        <w:tc>
          <w:tcPr>
            <w:tcW w:type="dxa" w:w="1728"/>
          </w:tcPr>
          <w:p>
            <w:r>
              <w:rPr>
                <w:rFonts w:ascii="Calibri" w:hAnsi="Calibri"/>
                <w:sz w:val="22"/>
              </w:rPr>
              <w:t>FFO / Debt Target</w:t>
            </w:r>
          </w:p>
        </w:tc>
        <w:tc>
          <w:tcPr>
            <w:tcW w:type="dxa" w:w="1728"/>
          </w:tcPr>
          <w:p>
            <w:r>
              <w:rPr>
                <w:rFonts w:ascii="Calibri" w:hAnsi="Calibri"/>
                <w:sz w:val="22"/>
              </w:rPr>
              <w:t>Mid-teens</w:t>
            </w:r>
          </w:p>
        </w:tc>
        <w:tc>
          <w:tcPr>
            <w:tcW w:type="dxa" w:w="1728"/>
          </w:tcPr>
          <w:p>
            <w:r>
              <w:rPr>
                <w:rFonts w:ascii="Calibri" w:hAnsi="Calibri"/>
                <w:sz w:val="22"/>
              </w:rPr>
              <w:t>— Unchanged</w:t>
            </w:r>
          </w:p>
        </w:tc>
        <w:tc>
          <w:tcPr>
            <w:tcW w:type="dxa" w:w="1728"/>
          </w:tcPr>
          <w:p>
            <w:r>
              <w:rPr>
                <w:rFonts w:ascii="Calibri" w:hAnsi="Calibri"/>
                <w:sz w:val="22"/>
              </w:rPr>
              <w:t>~12.0% (cons.)</w:t>
            </w:r>
          </w:p>
        </w:tc>
        <w:tc>
          <w:tcPr>
            <w:tcW w:type="dxa" w:w="1728"/>
          </w:tcPr>
          <w:p>
            <w:r>
              <w:rPr>
                <w:rFonts w:ascii="Calibri" w:hAnsi="Calibri"/>
                <w:sz w:val="22"/>
              </w:rPr>
              <w:t>Moody’s moved utility to negative outlook (Mar 2026); CMS evaluating countermeasures</w:t>
            </w:r>
          </w:p>
        </w:tc>
      </w:tr>
      <w:tr>
        <w:tc>
          <w:tcPr>
            <w:tcW w:type="dxa" w:w="1728"/>
          </w:tcPr>
          <w:p>
            <w:r>
              <w:rPr>
                <w:rFonts w:ascii="Calibri" w:hAnsi="Calibri"/>
                <w:sz w:val="22"/>
              </w:rPr>
              <w:t>Equity Issuance (FY 2026)</w:t>
            </w:r>
          </w:p>
        </w:tc>
        <w:tc>
          <w:tcPr>
            <w:tcW w:type="dxa" w:w="1728"/>
          </w:tcPr>
          <w:p>
            <w:r>
              <w:rPr>
                <w:rFonts w:ascii="Calibri" w:hAnsi="Calibri"/>
                <w:sz w:val="22"/>
              </w:rPr>
              <w:t>~$700M aggregate for the year; ~$495M priced via forwards</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$142M settled in Q1; majority of multi-year equity needs front-end loaded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stable-to-slightly-higher since the Q1 print, with the full-year consensus edging up ~1% from $3.90 to $3.93 — tracking above the guidance midpoint of $3.865. </w:t>
      </w:r>
      <w:r>
        <w:rPr>
          <w:rFonts w:ascii="Calibri" w:hAnsi="Calibri"/>
          <w:b/>
          <w:color w:val="525866"/>
          <w:sz w:val="22"/>
        </w:rPr>
        <w:t>The gap between consensus and guidance is a modest cushion, not a risk</w:t>
      </w:r>
      <w:r>
        <w:rPr>
          <w:rFonts w:ascii="Calibri" w:hAnsi="Calibri"/>
          <w:color w:val="525866"/>
          <w:sz w:val="22"/>
        </w:rPr>
        <w:t>, given CMS’s consistent track record of delivering at or above the high end.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2Q 2026</w:t>
            </w:r>
          </w:p>
        </w:tc>
        <w:tc>
          <w:tcPr>
            <w:tcW w:type="dxa" w:w="1080"/>
          </w:tcPr>
          <w:p>
            <w:r>
              <w:rPr>
                <w:rFonts w:ascii="Calibri" w:hAnsi="Calibri"/>
                <w:sz w:val="22"/>
              </w:rPr>
              <w:t>$0.825</w:t>
            </w:r>
          </w:p>
        </w:tc>
        <w:tc>
          <w:tcPr>
            <w:tcW w:type="dxa" w:w="1080"/>
          </w:tcPr>
          <w:p>
            <w:r>
              <w:rPr>
                <w:rFonts w:ascii="Calibri" w:hAnsi="Calibri"/>
                <w:sz w:val="22"/>
              </w:rPr>
              <w:t>$0.364</w:t>
            </w:r>
          </w:p>
        </w:tc>
        <w:tc>
          <w:tcPr>
            <w:tcW w:type="dxa" w:w="1080"/>
          </w:tcPr>
          <w:p>
            <w:r>
              <w:rPr>
                <w:rFonts w:ascii="Calibri" w:hAnsi="Calibri"/>
                <w:b/>
                <w:color w:val="E5484D"/>
                <w:sz w:val="22"/>
              </w:rPr>
              <w:t>-55.9%</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$3.895</w:t>
            </w:r>
          </w:p>
        </w:tc>
        <w:tc>
          <w:tcPr>
            <w:tcW w:type="dxa" w:w="1080"/>
          </w:tcPr>
          <w:p>
            <w:r>
              <w:rPr>
                <w:rFonts w:ascii="Calibri" w:hAnsi="Calibri"/>
                <w:sz w:val="22"/>
              </w:rPr>
              <w:t>$3.930</w:t>
            </w:r>
          </w:p>
        </w:tc>
        <w:tc>
          <w:tcPr>
            <w:tcW w:type="dxa" w:w="1080"/>
          </w:tcPr>
          <w:p>
            <w:r>
              <w:rPr>
                <w:rFonts w:ascii="Calibri" w:hAnsi="Calibri"/>
                <w:b/>
                <w:color w:val="30A46C"/>
                <w:sz w:val="22"/>
              </w:rPr>
              <w:t>+0.9%</w:t>
            </w:r>
          </w:p>
        </w:tc>
        <w:tc>
          <w:tcPr>
            <w:tcW w:type="dxa" w:w="1080"/>
          </w:tcPr>
          <w:p>
            <w:r>
              <w:rPr>
                <w:rFonts w:ascii="Calibri" w:hAnsi="Calibri"/>
                <w:sz w:val="22"/>
              </w:rPr>
              <w:t>$3.83–$3.90</w:t>
            </w:r>
          </w:p>
        </w:tc>
        <w:tc>
          <w:tcPr>
            <w:tcW w:type="dxa" w:w="1080"/>
          </w:tcPr>
          <w:p>
            <w:r>
              <w:rPr>
                <w:rFonts w:ascii="Calibri" w:hAnsi="Calibri"/>
                <w:sz w:val="22"/>
              </w:rPr>
              <w:t>$3.83–$3.90 (unchanged)</w:t>
            </w:r>
          </w:p>
        </w:tc>
        <w:tc>
          <w:tcPr>
            <w:tcW w:type="dxa" w:w="1080"/>
          </w:tcPr>
          <w:p>
            <w:r>
              <w:rPr>
                <w:rFonts w:ascii="Calibri" w:hAnsi="Calibri"/>
                <w:sz w:val="22"/>
              </w:rPr>
              <w:t>Unchanged</w:t>
            </w:r>
          </w:p>
        </w:tc>
        <w:tc>
          <w:tcPr>
            <w:tcW w:type="dxa" w:w="1080"/>
          </w:tcPr>
          <w:p>
            <w:r>
              <w:rPr>
                <w:rFonts w:ascii="Calibri" w:hAnsi="Calibri"/>
                <w:sz w:val="22"/>
              </w:rPr>
              <w:t>+1.7% above midpoint</w:t>
            </w:r>
          </w:p>
        </w:tc>
      </w:tr>
      <w:tr>
        <w:tc>
          <w:tcPr>
            <w:tcW w:type="dxa" w:w="1080"/>
          </w:tcPr>
          <w:p>
            <w:r>
              <w:rPr>
                <w:rFonts w:ascii="Calibri" w:hAnsi="Calibri"/>
                <w:sz w:val="22"/>
              </w:rPr>
              <w:t>Operating Revenue — 2Q 2026</w:t>
            </w:r>
          </w:p>
        </w:tc>
        <w:tc>
          <w:tcPr>
            <w:tcW w:type="dxa" w:w="1080"/>
          </w:tcPr>
          <w:p>
            <w:r>
              <w:rPr>
                <w:rFonts w:ascii="Calibri" w:hAnsi="Calibri"/>
                <w:sz w:val="22"/>
              </w:rPr>
              <w:t>$2,089M</w:t>
            </w:r>
          </w:p>
        </w:tc>
        <w:tc>
          <w:tcPr>
            <w:tcW w:type="dxa" w:w="1080"/>
          </w:tcPr>
          <w:p>
            <w:r>
              <w:rPr>
                <w:rFonts w:ascii="Calibri" w:hAnsi="Calibri"/>
                <w:sz w:val="22"/>
              </w:rPr>
              <w:t>$1,776M</w:t>
            </w:r>
          </w:p>
        </w:tc>
        <w:tc>
          <w:tcPr>
            <w:tcW w:type="dxa" w:w="1080"/>
          </w:tcPr>
          <w:p>
            <w:r>
              <w:rPr>
                <w:rFonts w:ascii="Calibri" w:hAnsi="Calibri"/>
                <w:b/>
                <w:color w:val="E5484D"/>
                <w:sz w:val="22"/>
              </w:rPr>
              <w:t>-15.0%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 — FY 2026</w:t>
            </w:r>
          </w:p>
        </w:tc>
        <w:tc>
          <w:tcPr>
            <w:tcW w:type="dxa" w:w="1080"/>
          </w:tcPr>
          <w:p>
            <w:r>
              <w:rPr>
                <w:rFonts w:ascii="Calibri" w:hAnsi="Calibri"/>
                <w:sz w:val="22"/>
              </w:rPr>
              <w:t>$8,871M</w:t>
            </w:r>
          </w:p>
        </w:tc>
        <w:tc>
          <w:tcPr>
            <w:tcW w:type="dxa" w:w="1080"/>
          </w:tcPr>
          <w:p>
            <w:r>
              <w:rPr>
                <w:rFonts w:ascii="Calibri" w:hAnsi="Calibri"/>
                <w:sz w:val="22"/>
              </w:rPr>
              <w:t>$9,010M</w:t>
            </w:r>
          </w:p>
        </w:tc>
        <w:tc>
          <w:tcPr>
            <w:tcW w:type="dxa" w:w="1080"/>
          </w:tcPr>
          <w:p>
            <w:r>
              <w:rPr>
                <w:rFonts w:ascii="Calibri" w:hAnsi="Calibri"/>
                <w:b/>
                <w:color w:val="30A46C"/>
                <w:sz w:val="22"/>
              </w:rPr>
              <w:t>+1.6%</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2Q 2026</w:t>
            </w:r>
          </w:p>
        </w:tc>
        <w:tc>
          <w:tcPr>
            <w:tcW w:type="dxa" w:w="1080"/>
          </w:tcPr>
          <w:p>
            <w:r>
              <w:rPr>
                <w:rFonts w:ascii="Calibri" w:hAnsi="Calibri"/>
                <w:sz w:val="22"/>
              </w:rPr>
              <w:t>$1,038M</w:t>
            </w:r>
          </w:p>
        </w:tc>
        <w:tc>
          <w:tcPr>
            <w:tcW w:type="dxa" w:w="1080"/>
          </w:tcPr>
          <w:p>
            <w:r>
              <w:rPr>
                <w:rFonts w:ascii="Calibri" w:hAnsi="Calibri"/>
                <w:sz w:val="22"/>
              </w:rPr>
              <w:t>$1,065M</w:t>
            </w:r>
          </w:p>
        </w:tc>
        <w:tc>
          <w:tcPr>
            <w:tcW w:type="dxa" w:w="1080"/>
          </w:tcPr>
          <w:p>
            <w:r>
              <w:rPr>
                <w:rFonts w:ascii="Calibri" w:hAnsi="Calibri"/>
                <w:b/>
                <w:color w:val="30A46C"/>
                <w:sz w:val="22"/>
              </w:rPr>
              <w:t>+2.6%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 2026</w:t>
            </w:r>
          </w:p>
        </w:tc>
        <w:tc>
          <w:tcPr>
            <w:tcW w:type="dxa" w:w="1080"/>
          </w:tcPr>
          <w:p>
            <w:r>
              <w:rPr>
                <w:rFonts w:ascii="Calibri" w:hAnsi="Calibri"/>
                <w:sz w:val="22"/>
              </w:rPr>
              <w:t>$4,275M</w:t>
            </w:r>
          </w:p>
        </w:tc>
        <w:tc>
          <w:tcPr>
            <w:tcW w:type="dxa" w:w="1080"/>
          </w:tcPr>
          <w:p>
            <w:r>
              <w:rPr>
                <w:rFonts w:ascii="Calibri" w:hAnsi="Calibri"/>
                <w:sz w:val="22"/>
              </w:rPr>
              <w:t>$4,304M</w:t>
            </w:r>
          </w:p>
        </w:tc>
        <w:tc>
          <w:tcPr>
            <w:tcW w:type="dxa" w:w="1080"/>
          </w:tcPr>
          <w:p>
            <w:r>
              <w:rPr>
                <w:rFonts w:ascii="Calibri" w:hAnsi="Calibri"/>
                <w:b/>
                <w:color w:val="30A46C"/>
                <w:sz w:val="22"/>
              </w:rPr>
              <w:t>+0.7%</w:t>
            </w:r>
          </w:p>
        </w:tc>
        <w:tc>
          <w:tcPr>
            <w:tcW w:type="dxa" w:w="1080"/>
          </w:tcPr>
          <w:p>
            <w:r>
              <w:rPr>
                <w:rFonts w:ascii="Calibri" w:hAnsi="Calibri"/>
                <w:sz w:val="22"/>
              </w:rPr>
              <w:t>$24B 5-yr plan (~$4.8B/yr avg)</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Note: The large decline in 2Q 2026 quarterly EPS consensus vs. the May 5 baseline reflects seasonal patterns and the timing of rate recovery — 2Q is structurally the weakest quarter for CMS. The full-year consensus of $3.93 is the more meaningful metric and sits modestly above the guidance midpoint, consistent with CMS’s track record of delivering at the high end.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CMS has underperformed both XLU and the S&amp;P 500 since the April 28 Q1 earnings date, driven entirely by </w:t>
      </w:r>
      <w:r>
        <w:rPr>
          <w:rFonts w:ascii="Calibri" w:hAnsi="Calibri"/>
          <w:b/>
          <w:color w:val="525866"/>
          <w:sz w:val="22"/>
        </w:rPr>
        <w:t>multiple compression</w:t>
      </w:r>
      <w:r>
        <w:rPr>
          <w:rFonts w:ascii="Calibri" w:hAnsi="Calibri"/>
          <w:color w:val="525866"/>
          <w:sz w:val="22"/>
        </w:rPr>
        <w:t xml:space="preserve"> (NTM P/E contracted from ~19.0× to ~18.3×) rather than estimate cuts. The stock is not pricing in a beat, which creates a modestly favorable setup if management delivers at the high end of guidance and provides constructive data center updates.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CMS vs. XLU vs. S&amp;P 500 — Indexed to 100 at April 30, 2026 (post-Q1 earnings). Source: Yahoo Finance / Stock Price Data.</w:t>
      </w:r>
    </w:p>
    <w:p>
      <w:r>
        <w:rPr>
          <w:rFonts w:ascii="Calibri" w:hAnsi="Calibri"/>
          <w:b/>
          <w:color w:val="525866"/>
          <w:sz w:val="22"/>
        </w:rPr>
        <w:t>Performance Summary (Apr 30 – Jul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Apr 30 Price / Level</w:t>
            </w:r>
          </w:p>
        </w:tc>
        <w:tc>
          <w:tcPr>
            <w:tcW w:type="dxa" w:w="2160"/>
            <w:shd w:val="clear" w:color="auto" w:fill="3B4259"/>
          </w:tcPr>
          <w:p>
            <w:r>
              <w:rPr>
                <w:rFonts w:ascii="Calibri" w:hAnsi="Calibri"/>
                <w:b/>
                <w:color w:val="FFFFFF"/>
                <w:sz w:val="22"/>
              </w:rPr>
              <w:t>Jul 28 Price / Level</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CMS Energy (CMS)</w:t>
            </w:r>
          </w:p>
        </w:tc>
        <w:tc>
          <w:tcPr>
            <w:tcW w:type="dxa" w:w="2160"/>
          </w:tcPr>
          <w:p>
            <w:r>
              <w:rPr>
                <w:rFonts w:ascii="Calibri" w:hAnsi="Calibri"/>
                <w:sz w:val="22"/>
              </w:rPr>
              <w:t>$76.74</w:t>
            </w:r>
          </w:p>
        </w:tc>
        <w:tc>
          <w:tcPr>
            <w:tcW w:type="dxa" w:w="2160"/>
          </w:tcPr>
          <w:p>
            <w:r>
              <w:rPr>
                <w:rFonts w:ascii="Calibri" w:hAnsi="Calibri"/>
                <w:sz w:val="22"/>
              </w:rPr>
              <w:t>$74.27</w:t>
            </w:r>
          </w:p>
        </w:tc>
        <w:tc>
          <w:tcPr>
            <w:tcW w:type="dxa" w:w="2160"/>
          </w:tcPr>
          <w:p>
            <w:r>
              <w:rPr>
                <w:rFonts w:ascii="Calibri" w:hAnsi="Calibri"/>
                <w:b/>
                <w:color w:val="E5484D"/>
                <w:sz w:val="22"/>
              </w:rPr>
              <w:t>-3.2%</w:t>
            </w:r>
          </w:p>
        </w:tc>
      </w:tr>
      <w:tr>
        <w:tc>
          <w:tcPr>
            <w:tcW w:type="dxa" w:w="2160"/>
          </w:tcPr>
          <w:p>
            <w:r>
              <w:rPr>
                <w:rFonts w:ascii="Calibri" w:hAnsi="Calibri"/>
                <w:sz w:val="22"/>
              </w:rPr>
              <w:t>Utilities ETF (XLU)</w:t>
            </w:r>
          </w:p>
        </w:tc>
        <w:tc>
          <w:tcPr>
            <w:tcW w:type="dxa" w:w="2160"/>
          </w:tcPr>
          <w:p>
            <w:r>
              <w:rPr>
                <w:rFonts w:ascii="Calibri" w:hAnsi="Calibri"/>
                <w:sz w:val="22"/>
              </w:rPr>
              <w:t>$46.85</w:t>
            </w:r>
          </w:p>
        </w:tc>
        <w:tc>
          <w:tcPr>
            <w:tcW w:type="dxa" w:w="2160"/>
          </w:tcPr>
          <w:p>
            <w:r>
              <w:rPr>
                <w:rFonts w:ascii="Calibri" w:hAnsi="Calibri"/>
                <w:sz w:val="22"/>
              </w:rPr>
              <w:t>$45.68</w:t>
            </w:r>
          </w:p>
        </w:tc>
        <w:tc>
          <w:tcPr>
            <w:tcW w:type="dxa" w:w="2160"/>
          </w:tcPr>
          <w:p>
            <w:r>
              <w:rPr>
                <w:rFonts w:ascii="Calibri" w:hAnsi="Calibri"/>
                <w:sz w:val="22"/>
              </w:rPr>
              <w:t>-2.5%</w:t>
            </w:r>
          </w:p>
        </w:tc>
      </w:tr>
      <w:tr>
        <w:tc>
          <w:tcPr>
            <w:tcW w:type="dxa" w:w="2160"/>
          </w:tcPr>
          <w:p>
            <w:r>
              <w:rPr>
                <w:rFonts w:ascii="Calibri" w:hAnsi="Calibri"/>
                <w:sz w:val="22"/>
              </w:rPr>
              <w:t>S&amp;P 500 (SPY)</w:t>
            </w:r>
          </w:p>
        </w:tc>
        <w:tc>
          <w:tcPr>
            <w:tcW w:type="dxa" w:w="2160"/>
          </w:tcPr>
          <w:p>
            <w:r>
              <w:rPr>
                <w:rFonts w:ascii="Calibri" w:hAnsi="Calibri"/>
                <w:sz w:val="22"/>
              </w:rPr>
              <w:t>$718.66</w:t>
            </w:r>
          </w:p>
        </w:tc>
        <w:tc>
          <w:tcPr>
            <w:tcW w:type="dxa" w:w="2160"/>
          </w:tcPr>
          <w:p>
            <w:r>
              <w:rPr>
                <w:rFonts w:ascii="Calibri" w:hAnsi="Calibri"/>
                <w:sz w:val="22"/>
              </w:rPr>
              <w:t>$739.09</w:t>
            </w:r>
          </w:p>
        </w:tc>
        <w:tc>
          <w:tcPr>
            <w:tcW w:type="dxa" w:w="2160"/>
          </w:tcPr>
          <w:p>
            <w:r>
              <w:rPr>
                <w:rFonts w:ascii="Calibri" w:hAnsi="Calibri"/>
                <w:b/>
                <w:color w:val="30A46C"/>
                <w:sz w:val="22"/>
              </w:rPr>
              <w:t>+2.8%</w:t>
            </w:r>
          </w:p>
        </w:tc>
      </w:tr>
    </w:tbl>
    <w:p>
      <w:r>
        <w:rPr>
          <w:rFonts w:ascii="Calibri" w:hAnsi="Calibri"/>
          <w:i/>
          <w:color w:val="525866"/>
          <w:sz w:val="22"/>
        </w:rPr>
        <w:t xml:space="preserve">Source: Yahoo Finance / Stock Price Data. </w:t>
      </w:r>
      <w:r>
        <w:rPr>
          <w:rFonts w:ascii="Calibri" w:hAnsi="Calibri"/>
          <w:i/>
          <w:color w:val="525866"/>
          <w:sz w:val="22"/>
        </w:rPr>
        <w:t>Valuation context: NTM EV/EBITDA compressed from ~12.1× to ~11.6× over the past 3 months; NTM P/E from ~19.3× to ~18.3×. The underperformance vs. the S&amp;P 500 is driven by the broader utility sector’s lag in a risk-on environment, not CMS-specific fundamental deterioration. The stock peaked at $78.81 on June 26 before pulling back, coinciding with broader utility sector weakness.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CFO transition</w:t>
      </w:r>
      <w:r>
        <w:rPr>
          <w:rFonts w:ascii="Calibri" w:hAnsi="Calibri"/>
          <w:color w:val="525866"/>
          <w:sz w:val="22"/>
        </w:rPr>
        <w:t xml:space="preserve"> (June 3), which was accompanied by a full guidance reaffirmation — a clean handoff with no strategic change. The IRP filing (June 2026) and the pending gas rate case order (expected Aug–Oct) are the next major catalysts for the stock.</w:t>
      </w:r>
    </w:p>
    <w:p>
      <w:pPr>
        <w:pStyle w:val="ListBullet"/>
        <w:ind w:left="360" w:hanging="360"/>
      </w:pPr>
      <w:r>
        <w:rPr>
          <w:rFonts w:ascii="Calibri" w:hAnsi="Calibri"/>
          <w:b/>
          <w:color w:val="525866"/>
          <w:sz w:val="22"/>
        </w:rPr>
        <w:t>Jun 3, 2026 — CFO Transition &amp; Guidance Reaffirmation (8-K):</w:t>
      </w:r>
      <w:r>
        <w:rPr>
          <w:rFonts w:ascii="Calibri" w:hAnsi="Calibri"/>
          <w:color w:val="525866"/>
          <w:sz w:val="22"/>
        </w:rPr>
        <w:t xml:space="preserve"> Rejji P. Hayes retired as EVP &amp; CFO; Sri Maddipati (age 43) appointed successor. CMS simultaneously reaffirmed all 2026 financial guidance ($3.83–$3.90 adj. EPS, 6–8% long-term growth). </w:t>
      </w:r>
    </w:p>
    <w:p>
      <w:pPr>
        <w:pStyle w:val="ListBullet"/>
        <w:ind w:left="360" w:hanging="360"/>
      </w:pPr>
      <w:r>
        <w:rPr>
          <w:rFonts w:ascii="Calibri" w:hAnsi="Calibri"/>
          <w:b/>
          <w:color w:val="525866"/>
          <w:sz w:val="22"/>
        </w:rPr>
        <w:t>June 2026 — IRP Filing:</w:t>
      </w:r>
      <w:r>
        <w:rPr>
          <w:rFonts w:ascii="Calibri" w:hAnsi="Calibri"/>
          <w:color w:val="525866"/>
          <w:sz w:val="22"/>
        </w:rPr>
        <w:t xml:space="preserve"> CMS filed its 20-year Integrated Resource Plan, including 1.5 GW of new gas capacity to replace retiring units, 13 GW of renewables/clean energy, and a growth scenario for data center/manufacturing load. Each GW of new large load represents $2–5B of incremental CapEx opportunity. This is the key document underpinning the long-term capital story.</w:t>
      </w:r>
    </w:p>
    <w:p>
      <w:pPr>
        <w:pStyle w:val="ListBullet"/>
        <w:ind w:left="360" w:hanging="360"/>
      </w:pPr>
      <w:r>
        <w:rPr>
          <w:rFonts w:ascii="Calibri" w:hAnsi="Calibri"/>
          <w:b/>
          <w:color w:val="525866"/>
          <w:sz w:val="22"/>
        </w:rPr>
        <w:t>June 2026 — Electric Rate Case Filing:</w:t>
      </w:r>
      <w:r>
        <w:rPr>
          <w:rFonts w:ascii="Calibri" w:hAnsi="Calibri"/>
          <w:color w:val="525866"/>
          <w:sz w:val="22"/>
        </w:rPr>
        <w:t xml:space="preserve"> CMS filed a new electric rate case in June as planned. The outcome (expected order by Oct 16, 2026) will be a key regulatory catalyst for the stock.</w:t>
      </w:r>
    </w:p>
    <w:p>
      <w:pPr>
        <w:pStyle w:val="ListBullet"/>
        <w:ind w:left="360" w:hanging="360"/>
      </w:pPr>
      <w:r>
        <w:rPr>
          <w:rFonts w:ascii="Calibri" w:hAnsi="Calibri"/>
          <w:b/>
          <w:color w:val="525866"/>
          <w:sz w:val="22"/>
        </w:rPr>
        <w:t>Mar 27, 2026 — Electric Rate Case Order (U-21870):</w:t>
      </w:r>
      <w:r>
        <w:rPr>
          <w:rFonts w:ascii="Calibri" w:hAnsi="Calibri"/>
          <w:color w:val="525866"/>
          <w:sz w:val="22"/>
        </w:rPr>
        <w:t xml:space="preserve"> MPSC approved $217M (9.90% ROE), representing ~66% of CMS’s ask. Constructive outcome; supported reliability investments and maintained affordability.</w:t>
      </w:r>
    </w:p>
    <w:p>
      <w:pPr>
        <w:pStyle w:val="ListBullet"/>
        <w:ind w:left="360" w:hanging="360"/>
      </w:pPr>
      <w:r>
        <w:rPr>
          <w:rFonts w:ascii="Calibri" w:hAnsi="Calibri"/>
          <w:b/>
          <w:color w:val="525866"/>
          <w:sz w:val="22"/>
        </w:rPr>
        <w:t>Mar 2026 — Moody’s Negative Outlook on Consumers Energy:</w:t>
      </w:r>
      <w:r>
        <w:rPr>
          <w:rFonts w:ascii="Calibri" w:hAnsi="Calibri"/>
          <w:color w:val="525866"/>
          <w:sz w:val="22"/>
        </w:rPr>
        <w:t xml:space="preserve"> Moody’s moved the utility subsidiary to negative outlook due to the size of the 5-year CapEx plan relative to cost recovery timing. CMS is evaluating countermeasures including rate-making capital structure adjustments. Fitch and S&amp;P maintained stable outlooks.</w:t>
      </w:r>
    </w:p>
    <w:p>
      <w:pPr>
        <w:pStyle w:val="ListBullet"/>
        <w:ind w:left="360" w:hanging="360"/>
      </w:pPr>
      <w:r>
        <w:rPr>
          <w:rFonts w:ascii="Calibri" w:hAnsi="Calibri"/>
          <w:b/>
          <w:color w:val="525866"/>
          <w:sz w:val="22"/>
        </w:rPr>
        <w:t>Apr 28, 2026 — Q1 2026 Earnings:</w:t>
      </w:r>
      <w:r>
        <w:rPr>
          <w:rFonts w:ascii="Calibri" w:hAnsi="Calibri"/>
          <w:color w:val="525866"/>
          <w:sz w:val="22"/>
        </w:rPr>
        <w:t xml:space="preserve"> Adj. EPS of $1.13 vs. $1.09 consensus (+3.7% beat). FY 2026 guidance reaffirmed at $3.83–$3.90 with confidence toward high end. ~$495M equity forwards priced; $142M settled in Q1. Data center pipeline: ~9 GW total, two hyperscalers in advanced negotiations, commercial terms reached on EFA and rate contract for lead prospect.</w:t>
      </w:r>
    </w:p>
    <w:p>
      <w:pPr>
        <w:pStyle w:val="ListBullet"/>
        <w:ind w:left="360" w:hanging="360"/>
      </w:pPr>
      <w:r>
        <w:rPr>
          <w:rFonts w:ascii="Calibri" w:hAnsi="Calibri"/>
          <w:b/>
          <w:color w:val="525866"/>
          <w:sz w:val="22"/>
        </w:rPr>
        <w:t>Ongoing — Gas Rate Case (U-21981):</w:t>
      </w:r>
      <w:r>
        <w:rPr>
          <w:rFonts w:ascii="Calibri" w:hAnsi="Calibri"/>
          <w:color w:val="525866"/>
          <w:sz w:val="22"/>
        </w:rPr>
        <w:t xml:space="preserve"> MPSC Staff recommended &gt;75% of CMS’s $240M ask and supported ~95% of gas infrastructure investments. Proposed decision expected August 2026; final order September–October 2026. Positive read-through for regulatory environment.</w:t>
      </w:r>
    </w:p>
    <w:p>
      <w:pPr>
        <w:pStyle w:val="ListBullet"/>
        <w:ind w:left="360" w:hanging="360"/>
      </w:pPr>
      <w:r>
        <w:rPr>
          <w:rFonts w:ascii="Calibri" w:hAnsi="Calibri"/>
          <w:b/>
          <w:color w:val="525866"/>
          <w:sz w:val="22"/>
        </w:rPr>
        <w:t>Ongoing — Data Center Pipeline:</w:t>
      </w:r>
      <w:r>
        <w:rPr>
          <w:rFonts w:ascii="Calibri" w:hAnsi="Calibri"/>
          <w:color w:val="525866"/>
          <w:sz w:val="22"/>
        </w:rPr>
        <w:t xml:space="preserve"> Two hyperscalers in advanced contract negotiations; commercial terms reached on EFA and rate contract for lead prospect. Zoning process (including Gaines Township) creating timing uncertainty but 2028 load ramp timeline maintained within contracts. Non-data center load also accelerating (110 MW signed in Q1 alone vs. ~100 MW all of prior year).</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2Q26 reporting window is broadly constructive for CMS. </w:t>
      </w:r>
      <w:r>
        <w:rPr>
          <w:rFonts w:ascii="Calibri" w:hAnsi="Calibri"/>
          <w:b/>
          <w:color w:val="525866"/>
          <w:sz w:val="22"/>
        </w:rPr>
        <w:t>NEE’s 2Q26 beat and accelerating large-load demand</w:t>
      </w:r>
      <w:r>
        <w:rPr>
          <w:rFonts w:ascii="Calibri" w:hAnsi="Calibri"/>
          <w:color w:val="525866"/>
          <w:sz w:val="22"/>
        </w:rPr>
        <w:t xml:space="preserve"> validate CMS’s data center thesis; </w:t>
      </w:r>
      <w:r>
        <w:rPr>
          <w:rFonts w:ascii="Calibri" w:hAnsi="Calibri"/>
          <w:b/>
          <w:color w:val="525866"/>
          <w:sz w:val="22"/>
        </w:rPr>
        <w:t>PCG’s 2Q26 results confirm the sector-wide trend of data center pipeline growth and O&amp;M discipline</w:t>
      </w:r>
      <w:r>
        <w:rPr>
          <w:rFonts w:ascii="Calibri" w:hAnsi="Calibri"/>
          <w:color w:val="525866"/>
          <w:sz w:val="22"/>
        </w:rPr>
        <w:t xml:space="preserve">; and </w:t>
      </w:r>
      <w:r>
        <w:rPr>
          <w:rFonts w:ascii="Calibri" w:hAnsi="Calibri"/>
          <w:b/>
          <w:color w:val="525866"/>
          <w:sz w:val="22"/>
        </w:rPr>
        <w:t>Duke’s NC rate settlement and Xcel’s NM stipulation</w:t>
      </w:r>
      <w:r>
        <w:rPr>
          <w:rFonts w:ascii="Calibri" w:hAnsi="Calibri"/>
          <w:color w:val="525866"/>
          <w:sz w:val="22"/>
        </w:rPr>
        <w:t xml:space="preserve"> provide benchmarks for the regulatory environment CMS is navigating. All peers reaffirmed full-year guidance, a positive read-through for CMS’s own guidance reaffirmation.</w:t>
      </w:r>
    </w:p>
    <w:p>
      <w:r>
        <w:rPr>
          <w:rFonts w:ascii="Calibri" w:hAnsi="Calibri"/>
          <w:i/>
          <w:color w:val="525866"/>
          <w:sz w:val="22"/>
        </w:rPr>
        <w:t>Note: Only commentary and results disclosed during CMS’s current 2Q26 reporting quarter (April 28 – July 28, 2026) are included below. Backward-looking commentary from peers about their own prior-quarter results has been excluded.</w:t>
      </w:r>
    </w:p>
    <w:p>
      <w:pPr>
        <w:pStyle w:val="Heading3"/>
      </w:pPr>
      <w:r>
        <w:rPr>
          <w:rFonts w:ascii="Calibri" w:hAnsi="Calibri"/>
          <w:b/>
          <w:color w:val="3B4259"/>
          <w:sz w:val="24"/>
        </w:rPr>
        <w:t>NextEra Energy (NEE) — 2Q26 Earnings Call (July 24, 2026)</w:t>
      </w:r>
    </w:p>
    <w:p>
      <w:r>
        <w:rPr>
          <w:rFonts w:ascii="Calibri" w:hAnsi="Calibri"/>
          <w:i/>
          <w:color w:val="525866"/>
          <w:sz w:val="22"/>
        </w:rPr>
        <w:t>Relevance: HIGH. NEE is the largest regulated utility and the most active developer of large-load/data center capacity. Its 2Q26 results and commentary are the most direct read-through for CMS’s data center thesis and demand outlook.</w:t>
      </w:r>
    </w:p>
    <w:p>
      <w:pPr>
        <w:pStyle w:val="ListBullet"/>
        <w:ind w:left="360" w:hanging="360"/>
      </w:pPr>
      <w:r>
        <w:rPr>
          <w:rFonts w:ascii="Calibri" w:hAnsi="Calibri"/>
          <w:b/>
          <w:color w:val="525866"/>
          <w:sz w:val="22"/>
        </w:rPr>
        <w:t>Demand acceleration confirmed:</w:t>
      </w:r>
      <w:r>
        <w:rPr>
          <w:rFonts w:ascii="Calibri" w:hAnsi="Calibri"/>
          <w:color w:val="525866"/>
          <w:sz w:val="22"/>
        </w:rPr>
        <w:t xml:space="preserve"> NEE stated “In 2026 and beyond, power demand continues to accelerate.” FPL added 90,000+ customers in 2Q and retail sales grew 0.4% YoY (0.6% weather-normalized). </w:t>
      </w:r>
    </w:p>
    <w:p>
      <w:pPr>
        <w:pStyle w:val="ListBullet"/>
        <w:ind w:left="360" w:hanging="360"/>
      </w:pPr>
      <w:r>
        <w:rPr>
          <w:rFonts w:ascii="Calibri" w:hAnsi="Calibri"/>
          <w:b/>
          <w:color w:val="525866"/>
          <w:sz w:val="22"/>
        </w:rPr>
        <w:t>Hyperscaler demand very strong:</w:t>
      </w:r>
      <w:r>
        <w:rPr>
          <w:rFonts w:ascii="Calibri" w:hAnsi="Calibri"/>
          <w:color w:val="525866"/>
          <w:sz w:val="22"/>
        </w:rPr>
        <w:t xml:space="preserve"> NEE sees “very strong interest from hyperscalers and other large load customers.” FPL raised its large-load expectation from 6 GW to 8 GW by 2032; currently has 21 GW of large-load interest with 12 GW in advanced discussions. NEE expects to announce at least one large-load transaction under FPL’s tariff by year-end. </w:t>
      </w:r>
    </w:p>
    <w:p>
      <w:pPr>
        <w:pStyle w:val="ListBullet"/>
        <w:ind w:left="360" w:hanging="360"/>
      </w:pPr>
      <w:r>
        <w:rPr>
          <w:rFonts w:ascii="Calibri" w:hAnsi="Calibri"/>
          <w:b/>
          <w:color w:val="525866"/>
          <w:sz w:val="22"/>
        </w:rPr>
        <w:t>CapEx per GW of large load:</w:t>
      </w:r>
      <w:r>
        <w:rPr>
          <w:rFonts w:ascii="Calibri" w:hAnsi="Calibri"/>
          <w:color w:val="525866"/>
          <w:sz w:val="22"/>
        </w:rPr>
        <w:t xml:space="preserve"> NEE confirmed “every gigawatt of large load under FPL’s approved tariff [is] equivalent to roughly $2 billion of CapEx” — directly consistent with CMS’s own $2–5B per GW sensitivity. </w:t>
      </w:r>
    </w:p>
    <w:p>
      <w:pPr>
        <w:pStyle w:val="ListBullet"/>
        <w:ind w:left="360" w:hanging="360"/>
      </w:pPr>
      <w:r>
        <w:rPr>
          <w:rFonts w:ascii="Calibri" w:hAnsi="Calibri"/>
          <w:b/>
          <w:color w:val="525866"/>
          <w:sz w:val="22"/>
        </w:rPr>
        <w:t>Guidance reaffirmed:</w:t>
      </w:r>
      <w:r>
        <w:rPr>
          <w:rFonts w:ascii="Calibri" w:hAnsi="Calibri"/>
          <w:color w:val="525866"/>
          <w:sz w:val="22"/>
        </w:rPr>
        <w:t xml:space="preserve"> NEE reaffirmed 2026 adj. EPS of $3.92–$4.02, targeting the high end. </w:t>
      </w:r>
    </w:p>
    <w:p>
      <w:pPr>
        <w:pStyle w:val="ListBullet"/>
        <w:ind w:left="360" w:hanging="360"/>
      </w:pPr>
      <w:r>
        <w:rPr>
          <w:rFonts w:ascii="Calibri" w:hAnsi="Calibri"/>
          <w:b/>
          <w:color w:val="525866"/>
          <w:sz w:val="22"/>
        </w:rPr>
        <w:t>CMS Read-Through:</w:t>
      </w:r>
      <w:r>
        <w:rPr>
          <w:rFonts w:ascii="Calibri" w:hAnsi="Calibri"/>
          <w:color w:val="525866"/>
          <w:sz w:val="22"/>
        </w:rPr>
        <w:t xml:space="preserve"> NEE’s data center demand acceleration and CapEx-per-GW confirmation directly validate CMS’s pipeline thesis. The 2028 online timeline for early data center projects is consistent with CMS’s own contract timelines. NEE’s guidance reaffirmation is a positive sector-level signal.</w:t>
      </w:r>
    </w:p>
    <w:p>
      <w:pPr>
        <w:pStyle w:val="Heading3"/>
      </w:pPr>
      <w:r>
        <w:rPr>
          <w:rFonts w:ascii="Calibri" w:hAnsi="Calibri"/>
          <w:b/>
          <w:color w:val="3B4259"/>
          <w:sz w:val="24"/>
        </w:rPr>
        <w:t>PG&amp;E Corporation (PCG) — 2Q26 Earnings Call (July 23, 2026)</w:t>
      </w:r>
    </w:p>
    <w:p>
      <w:r>
        <w:rPr>
          <w:rFonts w:ascii="Calibri" w:hAnsi="Calibri"/>
          <w:i/>
          <w:color w:val="525866"/>
          <w:sz w:val="22"/>
        </w:rPr>
        <w:t>Relevance: MEDIUM-HIGH. PCG is a large regulated utility with a significant data center pipeline (12+ GW) and a focus on O&amp;M discipline and affordability — themes directly relevant to CMS.</w:t>
      </w:r>
    </w:p>
    <w:p>
      <w:pPr>
        <w:pStyle w:val="ListBullet"/>
        <w:ind w:left="360" w:hanging="360"/>
      </w:pPr>
      <w:r>
        <w:rPr>
          <w:rFonts w:ascii="Calibri" w:hAnsi="Calibri"/>
          <w:b/>
          <w:color w:val="525866"/>
          <w:sz w:val="22"/>
        </w:rPr>
        <w:t>Data center pipeline at 12+ GW:</w:t>
      </w:r>
      <w:r>
        <w:rPr>
          <w:rFonts w:ascii="Calibri" w:hAnsi="Calibri"/>
          <w:color w:val="525866"/>
          <w:sz w:val="22"/>
        </w:rPr>
        <w:t xml:space="preserve"> PCG updated its pipeline to over 12 GW following new projects from its 2026 cluster study. PCG expects ~1.8 GW online by 2030, with some projects potentially accelerating. PCG noted “with appropriate pricing, every one GW of new data center load could help customers save 1% or more on their monthly electric bill” — directly echoing CMS’s own 2% customer rate reduction per GW of new load. </w:t>
      </w:r>
    </w:p>
    <w:p>
      <w:pPr>
        <w:pStyle w:val="ListBullet"/>
        <w:ind w:left="360" w:hanging="360"/>
      </w:pPr>
      <w:r>
        <w:rPr>
          <w:rFonts w:ascii="Calibri" w:hAnsi="Calibri"/>
          <w:b/>
          <w:color w:val="525866"/>
          <w:sz w:val="22"/>
        </w:rPr>
        <w:t>O&amp;M discipline:</w:t>
      </w:r>
      <w:r>
        <w:rPr>
          <w:rFonts w:ascii="Calibri" w:hAnsi="Calibri"/>
          <w:color w:val="525866"/>
          <w:sz w:val="22"/>
        </w:rPr>
        <w:t xml:space="preserve"> PCG on track to deliver 2–4% annual reductions in non-fuel O&amp;M; saved $40M+ YTD through sourcing/procurement. </w:t>
      </w:r>
    </w:p>
    <w:p>
      <w:pPr>
        <w:pStyle w:val="ListBullet"/>
        <w:ind w:left="360" w:hanging="360"/>
      </w:pPr>
      <w:r>
        <w:rPr>
          <w:rFonts w:ascii="Calibri" w:hAnsi="Calibri"/>
          <w:b/>
          <w:color w:val="525866"/>
          <w:sz w:val="22"/>
        </w:rPr>
        <w:t>Guidance reaffirmed:</w:t>
      </w:r>
      <w:r>
        <w:rPr>
          <w:rFonts w:ascii="Calibri" w:hAnsi="Calibri"/>
          <w:color w:val="525866"/>
          <w:sz w:val="22"/>
        </w:rPr>
        <w:t xml:space="preserve"> PCG reaffirmed FY 2026 core EPS of $1.64–$1.66 (midpoint +10% vs. 2025). </w:t>
      </w:r>
    </w:p>
    <w:p>
      <w:pPr>
        <w:pStyle w:val="ListBullet"/>
        <w:ind w:left="360" w:hanging="360"/>
      </w:pPr>
      <w:r>
        <w:rPr>
          <w:rFonts w:ascii="Calibri" w:hAnsi="Calibri"/>
          <w:b/>
          <w:color w:val="525866"/>
          <w:sz w:val="22"/>
        </w:rPr>
        <w:t>Regulatory:</w:t>
      </w:r>
      <w:r>
        <w:rPr>
          <w:rFonts w:ascii="Calibri" w:hAnsi="Calibri"/>
          <w:color w:val="525866"/>
          <w:sz w:val="22"/>
        </w:rPr>
        <w:t xml:space="preserve"> PCG’s 2027 GRC is the lowest filed in over a decade; if fully implemented, rates would be flat 2025–2027. Wildfire liability framework remains a key overhang. </w:t>
      </w:r>
    </w:p>
    <w:p>
      <w:pPr>
        <w:pStyle w:val="ListBullet"/>
        <w:ind w:left="360" w:hanging="360"/>
      </w:pPr>
      <w:r>
        <w:rPr>
          <w:rFonts w:ascii="Calibri" w:hAnsi="Calibri"/>
          <w:b/>
          <w:color w:val="525866"/>
          <w:sz w:val="22"/>
        </w:rPr>
        <w:t>CMS Read-Through:</w:t>
      </w:r>
      <w:r>
        <w:rPr>
          <w:rFonts w:ascii="Calibri" w:hAnsi="Calibri"/>
          <w:color w:val="525866"/>
          <w:sz w:val="22"/>
        </w:rPr>
        <w:t xml:space="preserve"> PCG’s data center pipeline growth and customer bill savings narrative are directly analogous to CMS’s own messaging. PCG’s O&amp;M discipline and guidance reaffirmation are positive sector signals. The wildfire liability overhang is PCG-specific and not relevant to CMS.</w:t>
      </w:r>
    </w:p>
    <w:p>
      <w:pPr>
        <w:pStyle w:val="Heading3"/>
      </w:pPr>
      <w:r>
        <w:rPr>
          <w:rFonts w:ascii="Calibri" w:hAnsi="Calibri"/>
          <w:b/>
          <w:color w:val="3B4259"/>
          <w:sz w:val="24"/>
        </w:rPr>
        <w:t>Duke Energy (DUK) — NC Rate Settlement (July 17, 2026)</w:t>
      </w:r>
    </w:p>
    <w:p>
      <w:r>
        <w:rPr>
          <w:rFonts w:ascii="Calibri" w:hAnsi="Calibri"/>
          <w:i/>
          <w:color w:val="525866"/>
          <w:sz w:val="22"/>
        </w:rPr>
        <w:t>Relevance: MEDIUM. Duke’s NC rate settlement provides a current-period benchmark for regulatory outcomes in the utility sector.</w:t>
      </w:r>
    </w:p>
    <w:p>
      <w:pPr>
        <w:pStyle w:val="ListBullet"/>
        <w:ind w:left="360" w:hanging="360"/>
      </w:pPr>
      <w:r>
        <w:rPr>
          <w:rFonts w:ascii="Calibri" w:hAnsi="Calibri"/>
          <w:b/>
          <w:color w:val="525866"/>
          <w:sz w:val="22"/>
        </w:rPr>
        <w:t>Settlement terms:</w:t>
      </w:r>
      <w:r>
        <w:rPr>
          <w:rFonts w:ascii="Calibri" w:hAnsi="Calibri"/>
          <w:color w:val="525866"/>
          <w:sz w:val="22"/>
        </w:rPr>
        <w:t xml:space="preserve"> Duke Energy Carolinas reached a comprehensive rate settlement with NC regulators: 9.8% ROE on a 53% equity capital structure; ~$3.8B of capital in the multi-year rate plan (MYRP); retail rate base of ~$25.7B. Settlement includes potential to delay next rate case filing until no earlier than November 2028, contingent on deferral of costs for new generating assets. </w:t>
      </w:r>
    </w:p>
    <w:p>
      <w:pPr>
        <w:pStyle w:val="ListBullet"/>
        <w:ind w:left="360" w:hanging="360"/>
      </w:pPr>
      <w:r>
        <w:rPr>
          <w:rFonts w:ascii="Calibri" w:hAnsi="Calibri"/>
          <w:b/>
          <w:color w:val="525866"/>
          <w:sz w:val="22"/>
        </w:rPr>
        <w:t>One-time charges:</w:t>
      </w:r>
      <w:r>
        <w:rPr>
          <w:rFonts w:ascii="Calibri" w:hAnsi="Calibri"/>
          <w:color w:val="525866"/>
          <w:sz w:val="22"/>
        </w:rPr>
        <w:t xml:space="preserve"> ~$40M pre-tax charges to be recognized in 2026, treated as special items excluded from adjusted earnings. </w:t>
      </w:r>
    </w:p>
    <w:p>
      <w:pPr>
        <w:pStyle w:val="ListBullet"/>
        <w:ind w:left="360" w:hanging="360"/>
      </w:pPr>
      <w:r>
        <w:rPr>
          <w:rFonts w:ascii="Calibri" w:hAnsi="Calibri"/>
          <w:b/>
          <w:color w:val="525866"/>
          <w:sz w:val="22"/>
        </w:rPr>
        <w:t>CMS Read-Through:</w:t>
      </w:r>
      <w:r>
        <w:rPr>
          <w:rFonts w:ascii="Calibri" w:hAnsi="Calibri"/>
          <w:color w:val="525866"/>
          <w:sz w:val="22"/>
        </w:rPr>
        <w:t xml:space="preserve"> The 9.8% ROE is slightly below CMS’s 9.9% ROE maintained in its March 2026 electric rate order — a positive relative comparison. The MYRP structure and deferral mechanism for new generation assets are constructive precedents for CMS’s own capital recovery discussions. The settlement’s constructive outcome supports the view that the regulatory environment remains supportive for utility capital investment.</w:t>
      </w:r>
    </w:p>
    <w:p>
      <w:pPr>
        <w:pStyle w:val="Heading3"/>
      </w:pPr>
      <w:r>
        <w:rPr>
          <w:rFonts w:ascii="Calibri" w:hAnsi="Calibri"/>
          <w:b/>
          <w:color w:val="3B4259"/>
          <w:sz w:val="24"/>
        </w:rPr>
        <w:t>Xcel Energy (XEL) — NM Rate Stipulation &amp; MN Rate Order (June 22, 2026)</w:t>
      </w:r>
    </w:p>
    <w:p>
      <w:r>
        <w:rPr>
          <w:rFonts w:ascii="Calibri" w:hAnsi="Calibri"/>
          <w:i/>
          <w:color w:val="525866"/>
          <w:sz w:val="22"/>
        </w:rPr>
        <w:t>Relevance: MEDIUM. Xcel’s regulatory activity during 2Q26 provides a read-through on the current regulatory environment for multi-state utilities.</w:t>
      </w:r>
    </w:p>
    <w:p>
      <w:pPr>
        <w:pStyle w:val="ListBullet"/>
        <w:ind w:left="360" w:hanging="360"/>
      </w:pPr>
      <w:r>
        <w:rPr>
          <w:rFonts w:ascii="Calibri" w:hAnsi="Calibri"/>
          <w:b/>
          <w:color w:val="525866"/>
          <w:sz w:val="22"/>
        </w:rPr>
        <w:t>NM stipulation (SPS):</w:t>
      </w:r>
      <w:r>
        <w:rPr>
          <w:rFonts w:ascii="Calibri" w:hAnsi="Calibri"/>
          <w:color w:val="525866"/>
          <w:sz w:val="22"/>
        </w:rPr>
        <w:t xml:space="preserve"> Xcel’s SPS subsidiary filed a non-unanimous stipulation with NMPRC: $90M base rate revenue increase (7.7% total; 2.4% avg. since last case), 9.5% ROE, 54.7% equity ratio. This is well below SPS’s initial ask of $168M and 10.5% ROE, reflecting regulatory pushback. NMPRC Staff opposes certain components; hearing scheduled July 2026, decision expected 4Q 2026. </w:t>
      </w:r>
    </w:p>
    <w:p>
      <w:pPr>
        <w:pStyle w:val="ListBullet"/>
        <w:ind w:left="360" w:hanging="360"/>
      </w:pPr>
      <w:r>
        <w:rPr>
          <w:rFonts w:ascii="Calibri" w:hAnsi="Calibri"/>
          <w:b/>
          <w:color w:val="525866"/>
          <w:sz w:val="22"/>
        </w:rPr>
        <w:t>MN rate order:</w:t>
      </w:r>
      <w:r>
        <w:rPr>
          <w:rFonts w:ascii="Calibri" w:hAnsi="Calibri"/>
          <w:color w:val="525866"/>
          <w:sz w:val="22"/>
        </w:rPr>
        <w:t xml:space="preserve"> Xcel’s Minnesota utility received a $211M rate increase with a higher ROE from regulators. </w:t>
      </w:r>
    </w:p>
    <w:p>
      <w:pPr>
        <w:pStyle w:val="ListBullet"/>
        <w:ind w:left="360" w:hanging="360"/>
      </w:pPr>
      <w:r>
        <w:rPr>
          <w:rFonts w:ascii="Calibri" w:hAnsi="Calibri"/>
          <w:b/>
          <w:color w:val="525866"/>
          <w:sz w:val="22"/>
        </w:rPr>
        <w:t>Guidance reaffirmed:</w:t>
      </w:r>
      <w:r>
        <w:rPr>
          <w:rFonts w:ascii="Calibri" w:hAnsi="Calibri"/>
          <w:color w:val="525866"/>
          <w:sz w:val="22"/>
        </w:rPr>
        <w:t xml:space="preserve"> Xcel reaffirmed 2026 ongoing EPS guidance of $4.04–$4.16. </w:t>
      </w:r>
    </w:p>
    <w:p>
      <w:pPr>
        <w:pStyle w:val="ListBullet"/>
        <w:ind w:left="360" w:hanging="360"/>
      </w:pPr>
      <w:r>
        <w:rPr>
          <w:rFonts w:ascii="Calibri" w:hAnsi="Calibri"/>
          <w:b/>
          <w:color w:val="525866"/>
          <w:sz w:val="22"/>
        </w:rPr>
        <w:t>CMS Read-Through:</w:t>
      </w:r>
      <w:r>
        <w:rPr>
          <w:rFonts w:ascii="Calibri" w:hAnsi="Calibri"/>
          <w:color w:val="525866"/>
          <w:sz w:val="22"/>
        </w:rPr>
        <w:t xml:space="preserve"> The NM outcome (significant haircut from initial ask) is a reminder that regulatory outcomes can disappoint, but CMS’s Michigan regulatory environment has been more consistently constructive (66% of ask in the March 2026 electric order, 75%+ in the pending gas case). Xcel’s guidance reaffirmation is a positive sector signal. The risk of regulatory pushback on large rate increases is a sector-wide theme to monitor.</w:t>
      </w:r>
    </w:p>
    <w:p>
      <w:pPr>
        <w:pStyle w:val="Heading3"/>
      </w:pPr>
      <w:r>
        <w:rPr>
          <w:rFonts w:ascii="Calibri" w:hAnsi="Calibri"/>
          <w:b/>
          <w:color w:val="3B4259"/>
          <w:sz w:val="24"/>
        </w:rPr>
        <w:t>Entergy (ETR) — Investor Day (June 9, 2026)</w:t>
      </w:r>
    </w:p>
    <w:p>
      <w:r>
        <w:rPr>
          <w:rFonts w:ascii="Calibri" w:hAnsi="Calibri"/>
          <w:i/>
          <w:color w:val="525866"/>
          <w:sz w:val="22"/>
        </w:rPr>
        <w:t>Relevance: LOW-MEDIUM. Entergy’s Investor Day focused on its own growth strategy and did not contain direct CMS-specific commentary. However, ETR’s large-load/data center narrative (Meta-specific plants in Louisiana) is a sector-level read-through.</w:t>
      </w:r>
    </w:p>
    <w:p>
      <w:pPr>
        <w:pStyle w:val="ListBullet"/>
        <w:ind w:left="360" w:hanging="360"/>
      </w:pPr>
      <w:r>
        <w:rPr>
          <w:rFonts w:ascii="Calibri" w:hAnsi="Calibri"/>
          <w:b/>
          <w:color w:val="525866"/>
          <w:sz w:val="22"/>
        </w:rPr>
        <w:t>Large-load demand:</w:t>
      </w:r>
      <w:r>
        <w:rPr>
          <w:rFonts w:ascii="Calibri" w:hAnsi="Calibri"/>
          <w:color w:val="525866"/>
          <w:sz w:val="22"/>
        </w:rPr>
        <w:t xml:space="preserve"> ETR is pursuing acquisition of the Cottonwood Generation Facility (Texas) to bridge power supply gap ahead of Meta-specific plants coming online. Regulatory approval expected in 5–6 months. </w:t>
      </w:r>
    </w:p>
    <w:p>
      <w:pPr>
        <w:pStyle w:val="ListBullet"/>
        <w:ind w:left="360" w:hanging="360"/>
      </w:pPr>
      <w:r>
        <w:rPr>
          <w:rFonts w:ascii="Calibri" w:hAnsi="Calibri"/>
          <w:b/>
          <w:color w:val="525866"/>
          <w:sz w:val="22"/>
        </w:rPr>
        <w:t>CMS Read-Through:</w:t>
      </w:r>
      <w:r>
        <w:rPr>
          <w:rFonts w:ascii="Calibri" w:hAnsi="Calibri"/>
          <w:color w:val="525866"/>
          <w:sz w:val="22"/>
        </w:rPr>
        <w:t xml:space="preserve"> ETR’s experience highlights that large-load demand is driving utilities to accelerate generation investment, consistent with CMS’s own IRP filing and data center pipeline. The regulatory approval timeline for new generation assets is a sector-wide consideration.</w:t>
      </w:r>
    </w:p>
    <w:p>
      <w:pPr>
        <w:pStyle w:val="Heading3"/>
      </w:pPr>
      <w:r>
        <w:rPr>
          <w:rFonts w:ascii="Calibri" w:hAnsi="Calibri"/>
          <w:b/>
          <w:color w:val="3B4259"/>
          <w:sz w:val="24"/>
        </w:rPr>
        <w:t>Sector-Level Themes (July 2026)</w:t>
      </w:r>
    </w:p>
    <w:p>
      <w:pPr>
        <w:pStyle w:val="ListBullet"/>
        <w:ind w:left="360" w:hanging="360"/>
      </w:pPr>
      <w:r>
        <w:rPr>
          <w:rFonts w:ascii="Calibri" w:hAnsi="Calibri"/>
          <w:b/>
          <w:color w:val="525866"/>
          <w:sz w:val="22"/>
        </w:rPr>
        <w:t>PJM capacity auction at near-record highs ($325/MW-day, Jul 14):</w:t>
      </w:r>
      <w:r>
        <w:rPr>
          <w:rFonts w:ascii="Calibri" w:hAnsi="Calibri"/>
          <w:color w:val="525866"/>
          <w:sz w:val="22"/>
        </w:rPr>
        <w:t xml:space="preserve"> Prices have risen 1,000%+ since 2024 due to data center demand outstripping supply. PJM fell short of its reliability requirement for the second consecutive auction. This is a Midwest/Mid-Atlantic dynamic but underscores the national urgency of generation investment — supportive of CMS’s IRP and CapEx narrative.</w:t>
      </w:r>
    </w:p>
    <w:p>
      <w:pPr>
        <w:pStyle w:val="ListBullet"/>
        <w:ind w:left="360" w:hanging="360"/>
      </w:pPr>
      <w:r>
        <w:rPr>
          <w:rFonts w:ascii="Calibri" w:hAnsi="Calibri"/>
          <w:b/>
          <w:color w:val="525866"/>
          <w:sz w:val="22"/>
        </w:rPr>
        <w:t>Trump AI/data center ratepayer pledge (Jul 21–23):</w:t>
      </w:r>
      <w:r>
        <w:rPr>
          <w:rFonts w:ascii="Calibri" w:hAnsi="Calibri"/>
          <w:color w:val="525866"/>
          <w:sz w:val="22"/>
        </w:rPr>
        <w:t xml:space="preserve"> The White House organized a voluntary pledge with utilities and data center developers to protect ratepayers from AI-driven electricity cost increases. NEE, Duke, and others signed on. CMS has not been specifically named but the pledge’s framework (data centers financing their own infrastructure) is consistent with CMS’s stated policy that data center investments will not be subsidized by existing customers.</w:t>
      </w:r>
    </w:p>
    <w:p>
      <w:pPr>
        <w:pStyle w:val="ListBullet"/>
        <w:ind w:left="360" w:hanging="360"/>
      </w:pPr>
      <w:r>
        <w:rPr>
          <w:rFonts w:ascii="Calibri" w:hAnsi="Calibri"/>
          <w:b/>
          <w:color w:val="525866"/>
          <w:sz w:val="22"/>
        </w:rPr>
        <w:t>PJM grid disturbance (Jul 22):</w:t>
      </w:r>
      <w:r>
        <w:rPr>
          <w:rFonts w:ascii="Calibri" w:hAnsi="Calibri"/>
          <w:color w:val="525866"/>
          <w:sz w:val="22"/>
        </w:rPr>
        <w:t xml:space="preserve"> A 3+ GW power disconnect in northern Virginia (data center-related) took 10+ minutes to stabilize, highlighting grid reliability risks from sudden large-load changes. This is a PJM-specific issue but reinforces the need for grid investment — supportive of CMS’s capital plan.</w:t>
      </w:r>
    </w:p>
    <w:p>
      <w:pPr>
        <w:pStyle w:val="ListBullet"/>
        <w:ind w:left="360" w:hanging="360"/>
      </w:pPr>
      <w:r>
        <w:rPr>
          <w:rFonts w:ascii="Calibri" w:hAnsi="Calibri"/>
          <w:b/>
          <w:color w:val="525866"/>
          <w:sz w:val="22"/>
        </w:rPr>
        <w:t>GE Vernova (GEV) 2Q26 results (Jul 22):</w:t>
      </w:r>
      <w:r>
        <w:rPr>
          <w:rFonts w:ascii="Calibri" w:hAnsi="Calibri"/>
          <w:color w:val="525866"/>
          <w:sz w:val="22"/>
        </w:rPr>
        <w:t xml:space="preserve"> GEV reported 88% organic order growth to $24.2B and raised full-year revenue guidance to $45.5–46.5B. Strong power equipment demand validates the generation investment cycle that underpins CMS’s IRP and CapEx plan.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open-market transaction was identified in the post-Q1 window: a discretionary sale by a Senior Vice President. The transaction is modest in size and not part of a 10b5-1 plan, which warrants noting, but the size ($~230K) is not large enough to be a meaningful signal. No open-market purchases were identified.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Brandon J. Hofmeister</w:t>
            </w:r>
          </w:p>
        </w:tc>
        <w:tc>
          <w:tcPr>
            <w:tcW w:type="dxa" w:w="1440"/>
          </w:tcPr>
          <w:p>
            <w:r>
              <w:rPr>
                <w:rFonts w:ascii="Calibri" w:hAnsi="Calibri"/>
                <w:sz w:val="22"/>
              </w:rPr>
              <w:t>Senior Vice President</w:t>
            </w:r>
          </w:p>
        </w:tc>
        <w:tc>
          <w:tcPr>
            <w:tcW w:type="dxa" w:w="1440"/>
          </w:tcPr>
          <w:p>
            <w:r>
              <w:rPr>
                <w:rFonts w:ascii="Calibri" w:hAnsi="Calibri"/>
                <w:sz w:val="22"/>
              </w:rPr>
              <w:t>Open Market Sale</w:t>
            </w:r>
          </w:p>
        </w:tc>
        <w:tc>
          <w:tcPr>
            <w:tcW w:type="dxa" w:w="1440"/>
          </w:tcPr>
          <w:p>
            <w:r>
              <w:rPr>
                <w:rFonts w:ascii="Calibri" w:hAnsi="Calibri"/>
                <w:sz w:val="22"/>
              </w:rPr>
              <w:t>3,000 shares (~$230K est.)</w:t>
            </w:r>
          </w:p>
        </w:tc>
        <w:tc>
          <w:tcPr>
            <w:tcW w:type="dxa" w:w="1440"/>
          </w:tcPr>
          <w:p>
            <w:r>
              <w:rPr>
                <w:rFonts w:ascii="Calibri" w:hAnsi="Calibri"/>
                <w:sz w:val="22"/>
              </w:rPr>
              <w:t>May 26, 2026</w:t>
            </w:r>
          </w:p>
        </w:tc>
        <w:tc>
          <w:tcPr>
            <w:tcW w:type="dxa" w:w="1440"/>
          </w:tcPr>
          <w:p>
            <w:r>
              <w:rPr>
                <w:rFonts w:ascii="Calibri" w:hAnsi="Calibri"/>
                <w:sz w:val="22"/>
              </w:rPr>
              <w:t>Discretionary sale (not 10b5-1); 67,111 shares remaining post-transaction (~4.3% of holdings sold)</w:t>
            </w:r>
          </w:p>
        </w:tc>
      </w:tr>
    </w:tbl>
    <w:p>
      <w:r>
        <w:rPr>
          <w:rFonts w:ascii="Calibri" w:hAnsi="Calibri"/>
          <w:i/>
          <w:color w:val="525866"/>
          <w:sz w:val="22"/>
        </w:rPr>
        <w:t xml:space="preserve">Source: SEC Form 4 Filings Database. </w:t>
      </w:r>
      <w:r>
        <w:rPr>
          <w:rFonts w:ascii="Calibri" w:hAnsi="Calibri"/>
          <w:i/>
          <w:color w:val="525866"/>
          <w:sz w:val="22"/>
        </w:rPr>
        <w:t>Note: The sale is discretionary (not pre-planned under a 10b5-1 plan), which is worth flagging, but the size is modest relative to total holdings. No open-market purchases were identified in the post-Q1 window. The CFO transition (Hayes → Maddipati, June 3) involved no disclosed open-market transactions.</w:t>
      </w:r>
    </w:p>
    <w:p>
      <w:r>
        <w:br w:type="page"/>
      </w:r>
    </w:p>
    <w:p>
      <w:pPr>
        <w:pStyle w:val="Heading2"/>
      </w:pPr>
      <w:r>
        <w:rPr>
          <w:rFonts w:ascii="Calibri" w:hAnsi="Calibri"/>
          <w:b/>
          <w:color w:val="3B4259"/>
          <w:sz w:val="28"/>
        </w:rPr>
        <w:t>9. Key Risks</w:t>
      </w:r>
    </w:p>
    <w:p>
      <w:r>
        <w:rPr>
          <w:rFonts w:ascii="Calibri" w:hAnsi="Calibri"/>
          <w:b/>
          <w:color w:val="525866"/>
          <w:sz w:val="22"/>
        </w:rPr>
        <w:t xml:space="preserve">Key Takeaway: </w:t>
      </w:r>
      <w:r>
        <w:rPr>
          <w:rFonts w:ascii="Calibri" w:hAnsi="Calibri"/>
          <w:color w:val="525866"/>
          <w:sz w:val="22"/>
        </w:rPr>
        <w:t>The primary risks are execution-related (data center zoning/timing, Moody’s credit outlook) rather than fundamental. CMS’s regulated utility model provides significant earnings visibility, but the size of the capital plan relative to cost recovery timing is the key credit and regulatory risk to monitor.</w:t>
      </w:r>
    </w:p>
    <w:p>
      <w:pPr>
        <w:pStyle w:val="ListBullet"/>
        <w:ind w:left="360" w:hanging="360"/>
      </w:pPr>
      <w:r>
        <w:rPr>
          <w:rFonts w:ascii="Calibri" w:hAnsi="Calibri"/>
          <w:b/>
          <w:color w:val="525866"/>
          <w:sz w:val="22"/>
        </w:rPr>
        <w:t>Data Center Zoning &amp; Timing Risk:</w:t>
      </w:r>
      <w:r>
        <w:rPr>
          <w:rFonts w:ascii="Calibri" w:hAnsi="Calibri"/>
          <w:color w:val="525866"/>
          <w:sz w:val="22"/>
        </w:rPr>
        <w:t xml:space="preserve"> The Gaines Township zoning process has introduced uncertainty on the timing of the lead hyperscaler contract. While commercial terms have been reached on both the EFA and rate contract, local community engagement and zoning approvals remain outstanding. A delay or rejection could push the 2028 load ramp timeline and reduce near-term CapEx opportunity.</w:t>
      </w:r>
    </w:p>
    <w:p>
      <w:pPr>
        <w:pStyle w:val="ListBullet"/>
        <w:ind w:left="360" w:hanging="360"/>
      </w:pPr>
      <w:r>
        <w:rPr>
          <w:rFonts w:ascii="Calibri" w:hAnsi="Calibri"/>
          <w:b/>
          <w:color w:val="525866"/>
          <w:sz w:val="22"/>
        </w:rPr>
        <w:t>Moody’s Negative Outlook (Consumers Energy):</w:t>
      </w:r>
      <w:r>
        <w:rPr>
          <w:rFonts w:ascii="Calibri" w:hAnsi="Calibri"/>
          <w:color w:val="525866"/>
          <w:sz w:val="22"/>
        </w:rPr>
        <w:t xml:space="preserve"> Moody’s moved the utility subsidiary to negative outlook in March 2026 due to the size of the 5-year CapEx plan relative to cost recovery timing. A downgrade would increase financing costs and could constrain the capital plan. CMS is evaluating countermeasures (rate-making capital structure, cost of capital adjustments) but has not yet disclosed specifics.</w:t>
      </w:r>
    </w:p>
    <w:p>
      <w:pPr>
        <w:pStyle w:val="ListBullet"/>
        <w:ind w:left="360" w:hanging="360"/>
      </w:pPr>
      <w:r>
        <w:rPr>
          <w:rFonts w:ascii="Calibri" w:hAnsi="Calibri"/>
          <w:b/>
          <w:color w:val="525866"/>
          <w:sz w:val="22"/>
        </w:rPr>
        <w:t>Regulatory Rate Case Risk:</w:t>
      </w:r>
      <w:r>
        <w:rPr>
          <w:rFonts w:ascii="Calibri" w:hAnsi="Calibri"/>
          <w:color w:val="525866"/>
          <w:sz w:val="22"/>
        </w:rPr>
        <w:t xml:space="preserve"> CMS filed a new electric rate case in June 2026 (order expected Oct 16, 2026). A disappointing outcome (below 66% of ask or ROE below 9.9%) would be a negative catalyst. The gas rate case proposed decision (August 2026) is also a near-term event risk.</w:t>
      </w:r>
    </w:p>
    <w:p>
      <w:pPr>
        <w:pStyle w:val="ListBullet"/>
        <w:ind w:left="360" w:hanging="360"/>
      </w:pPr>
      <w:r>
        <w:rPr>
          <w:rFonts w:ascii="Calibri" w:hAnsi="Calibri"/>
          <w:b/>
          <w:color w:val="525866"/>
          <w:sz w:val="22"/>
        </w:rPr>
        <w:t>Equity Dilution:</w:t>
      </w:r>
      <w:r>
        <w:rPr>
          <w:rFonts w:ascii="Calibri" w:hAnsi="Calibri"/>
          <w:color w:val="525866"/>
          <w:sz w:val="22"/>
        </w:rPr>
        <w:t xml:space="preserve"> CMS plans to issue ~$700M of equity in FY 2026 (majority of multi-year needs front-end loaded). Approximately $495M has been priced via forwards; the remaining ~$205M represents execution risk if market conditions deteriorate.</w:t>
      </w:r>
    </w:p>
    <w:p>
      <w:pPr>
        <w:pStyle w:val="ListBullet"/>
        <w:ind w:left="360" w:hanging="360"/>
      </w:pPr>
      <w:r>
        <w:rPr>
          <w:rFonts w:ascii="Calibri" w:hAnsi="Calibri"/>
          <w:b/>
          <w:color w:val="525866"/>
          <w:sz w:val="22"/>
        </w:rPr>
        <w:t>Weather &amp; Demand Variability:</w:t>
      </w:r>
      <w:r>
        <w:rPr>
          <w:rFonts w:ascii="Calibri" w:hAnsi="Calibri"/>
          <w:color w:val="525866"/>
          <w:sz w:val="22"/>
        </w:rPr>
        <w:t xml:space="preserve"> 2Q is the seasonal trough for CMS. A 1% change in electric sales impacts adj. EPS by ~8¢; a 1% change in gas sales impacts by ~4¢. Cooler-than-normal summer weather could pressure 2Q results, though CMS has hedging mechanisms (PSCR/GCR trackers) that mitigate most commodity exposure.</w:t>
      </w:r>
    </w:p>
    <w:p>
      <w:pPr>
        <w:pStyle w:val="ListBullet"/>
        <w:ind w:left="360" w:hanging="360"/>
      </w:pPr>
      <w:r>
        <w:rPr>
          <w:rFonts w:ascii="Calibri" w:hAnsi="Calibri"/>
          <w:b/>
          <w:color w:val="525866"/>
          <w:sz w:val="22"/>
        </w:rPr>
        <w:t>Interest Rate Sensitivity:</w:t>
      </w:r>
      <w:r>
        <w:rPr>
          <w:rFonts w:ascii="Calibri" w:hAnsi="Calibri"/>
          <w:color w:val="525866"/>
          <w:sz w:val="22"/>
        </w:rPr>
        <w:t xml:space="preserve"> A 100 bps change in interest rates impacts adj. EPS by ~4¢. CMS has 100% fixed-rate debt, which limits near-term exposure, but refinancing risk exists as maturities approach.</w:t>
      </w:r>
    </w:p>
    <w:p>
      <w:pPr>
        <w:pStyle w:val="ListBullet"/>
        <w:ind w:left="360" w:hanging="360"/>
      </w:pPr>
      <w:r>
        <w:rPr>
          <w:rFonts w:ascii="Calibri" w:hAnsi="Calibri"/>
          <w:b/>
          <w:color w:val="525866"/>
          <w:sz w:val="22"/>
        </w:rPr>
        <w:t>NorthStar / Portfolio:</w:t>
      </w:r>
      <w:r>
        <w:rPr>
          <w:rFonts w:ascii="Calibri" w:hAnsi="Calibri"/>
          <w:color w:val="525866"/>
          <w:sz w:val="22"/>
        </w:rPr>
        <w:t xml:space="preserve"> Media reports about potential NorthStar transactions have circulated; management has declined to comment per its longstanding no-M&amp;A-comment policy. NorthStar represents a small fraction of total earnings, but any strategic action could be a distraction or create uncertainty.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