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32112e8069ea392bfa2e92ee38cb6696f08ba3b"/>
    <w:p>
      <w:pPr>
        <w:pStyle w:val="Heading1"/>
      </w:pPr>
      <w:r>
        <w:t xml:space="preserve">Centene Corporation (NYSE: CNC) — Q2 2026 Earnings Preview</w:t>
      </w:r>
    </w:p>
    <w:p>
      <w:pPr>
        <w:pStyle w:val="FirstParagraph"/>
      </w:pPr>
      <w:r>
        <w:rPr>
          <w:b/>
          <w:bCs/>
        </w:rPr>
        <w:t xml:space="preserve">Report date:</w:t>
      </w:r>
      <w:r>
        <w:t xml:space="preserve"> </w:t>
      </w:r>
      <w:r>
        <w:t xml:space="preserve">Tuesday, July 28, 2026, before market open | Call at 8:30 a.m. ET</w:t>
      </w:r>
    </w:p>
    <w:p>
      <w:r>
        <w:pict>
          <v:rect style="width:0;height:1.5pt" o:hralign="center" o:hrstd="t" o:hr="t"/>
        </w:pict>
      </w:r>
    </w:p>
    <w:bookmarkStart w:id="9" w:name="Xe4d2d213c45663117d887acbe20e6cbaa80c42e"/>
    <w:p>
      <w:pPr>
        <w:pStyle w:val="Heading2"/>
      </w:pPr>
      <w:r>
        <w:t xml:space="preserve">1. Snapshot Going Into the Print</w:t>
      </w:r>
    </w:p>
    <w:p>
      <w:pPr>
        <w:pStyle w:val="Compact"/>
        <w:numPr>
          <w:ilvl w:val="0"/>
          <w:numId w:val="1001"/>
        </w:numPr>
      </w:pPr>
      <w:r>
        <w:t xml:space="preserve">Consensus for Q2 sits around</w:t>
      </w:r>
      <w:r>
        <w:t xml:space="preserve"> </w:t>
      </w:r>
      <m:oMath>
        <m:r>
          <m:t>0.89</m:t>
        </m:r>
        <m:r>
          <m:t>a</m:t>
        </m:r>
        <m:r>
          <m:t>d</m:t>
        </m:r>
        <m:r>
          <m:t>j</m:t>
        </m:r>
        <m:r>
          <m:t>u</m:t>
        </m:r>
        <m:r>
          <m:t>s</m:t>
        </m:r>
        <m:r>
          <m:t>t</m:t>
        </m:r>
        <m:r>
          <m:t>e</m:t>
        </m:r>
        <m:r>
          <m:t>d</m:t>
        </m:r>
        <m:r>
          <m:t>E</m:t>
        </m:r>
        <m:r>
          <m:t>P</m:t>
        </m:r>
        <m:r>
          <m:t>S</m:t>
        </m:r>
        <m:r>
          <m:rPr>
            <m:sty m:val="p"/>
          </m:rPr>
          <m:t>*</m:t>
        </m:r>
        <m:r>
          <m:rPr>
            <m:sty m:val="p"/>
          </m:rPr>
          <m:t>*</m:t>
        </m:r>
        <m:r>
          <m:t>o</m:t>
        </m:r>
        <m:r>
          <m:t>n</m:t>
        </m:r>
        <m:r>
          <m:t>r</m:t>
        </m:r>
        <m:r>
          <m:t>e</m:t>
        </m:r>
        <m:r>
          <m:t>v</m:t>
        </m:r>
        <m:r>
          <m:t>e</m:t>
        </m:r>
        <m:r>
          <m:t>n</m:t>
        </m:r>
        <m:r>
          <m:t>u</m:t>
        </m:r>
        <m:r>
          <m:t>e</m:t>
        </m:r>
        <m:r>
          <m:t>o</m:t>
        </m:r>
        <m:r>
          <m:t>f</m:t>
        </m:r>
        <m:r>
          <m:t>r</m:t>
        </m:r>
        <m:r>
          <m:t>o</m:t>
        </m:r>
        <m:r>
          <m:t>u</m:t>
        </m:r>
        <m:r>
          <m:t>g</m:t>
        </m:r>
        <m:r>
          <m:t>h</m:t>
        </m:r>
        <m:r>
          <m:t>l</m:t>
        </m:r>
        <m:r>
          <m:t>y</m:t>
        </m:r>
        <m:r>
          <m:rPr>
            <m:sty m:val="p"/>
          </m:rPr>
          <m:t>*</m:t>
        </m:r>
        <m:r>
          <m:rPr>
            <m:sty m:val="p"/>
          </m:rPr>
          <m:t>*</m:t>
        </m:r>
      </m:oMath>
      <w:r>
        <w:rPr>
          <w:b/>
          <w:bCs/>
        </w:rPr>
        <w:t xml:space="preserve">47.5 billion</w:t>
      </w:r>
      <w:r>
        <w:t xml:space="preserve"> </w:t>
      </w:r>
      <w:r>
        <w:t xml:space="preserve">(Zacks/StockStory consensus), which would be a sharp improvement from the</w:t>
      </w:r>
      <w:r>
        <w:t xml:space="preserve"> </w:t>
      </w:r>
      <w:r>
        <w:rPr>
          <w:b/>
          <w:bCs/>
        </w:rPr>
        <w:t xml:space="preserve">$0.16 per-share loss</w:t>
      </w:r>
      <w:r>
        <w:t xml:space="preserve"> </w:t>
      </w:r>
      <w:r>
        <w:t xml:space="preserve">posted a year ago, though estimates vary somewhat across data providers (Ticker Report shows a higher $1.08 estimate).</w:t>
      </w:r>
    </w:p>
    <w:p>
      <w:pPr>
        <w:pStyle w:val="Compact"/>
        <w:numPr>
          <w:ilvl w:val="0"/>
          <w:numId w:val="1001"/>
        </w:numPr>
      </w:pPr>
      <w:r>
        <w:t xml:space="preserve">For full-year 2026, the Street is modeling roughly</w:t>
      </w:r>
      <w:r>
        <w:t xml:space="preserve"> </w:t>
      </w:r>
      <w:r>
        <w:rPr>
          <w:b/>
          <w:bCs/>
        </w:rPr>
        <w:t xml:space="preserve">$3.44 in adjusted EPS</w:t>
      </w:r>
      <w:r>
        <w:t xml:space="preserve">, versus management's own guidance floor of</w:t>
      </w:r>
      <w:r>
        <w:t xml:space="preserve"> </w:t>
      </w:r>
      <w:r>
        <w:rPr>
          <w:b/>
          <w:bCs/>
        </w:rPr>
        <w:t xml:space="preserve">"greater than $3.40,"</w:t>
      </w:r>
      <w:r>
        <w:t xml:space="preserve"> </w:t>
      </w:r>
      <w:r>
        <w:t xml:space="preserve">raised from "greater than $3" after the Q1 beat.</w:t>
      </w:r>
    </w:p>
    <w:p>
      <w:pPr>
        <w:pStyle w:val="Compact"/>
        <w:numPr>
          <w:ilvl w:val="0"/>
          <w:numId w:val="1001"/>
        </w:numPr>
      </w:pPr>
      <w:r>
        <w:t xml:space="preserve">The stock has been on an extraordinary run — from the low-$30s in early April to a mid-July peak near</w:t>
      </w:r>
      <w:r>
        <w:t xml:space="preserve"> </w:t>
      </w:r>
      <m:oMath>
        <m:r>
          <m:t>69</m:t>
        </m:r>
        <m:r>
          <m:rPr>
            <m:sty m:val="p"/>
          </m:rPr>
          <m:t>—</m:t>
        </m:r>
        <m:r>
          <m:t>b</m:t>
        </m:r>
        <m:r>
          <m:t>e</m:t>
        </m:r>
        <m:r>
          <m:t>f</m:t>
        </m:r>
        <m:r>
          <m:t>o</m:t>
        </m:r>
        <m:r>
          <m:t>r</m:t>
        </m:r>
        <m:r>
          <m:t>e</m:t>
        </m:r>
        <m:r>
          <m:t>p</m:t>
        </m:r>
        <m:r>
          <m:t>u</m:t>
        </m:r>
        <m:r>
          <m:t>l</m:t>
        </m:r>
        <m:r>
          <m:t>l</m:t>
        </m:r>
        <m:r>
          <m:t>i</m:t>
        </m:r>
        <m:r>
          <m:t>n</m:t>
        </m:r>
        <m:r>
          <m:t>g</m:t>
        </m:r>
        <m:r>
          <m:t>b</m:t>
        </m:r>
        <m:r>
          <m:t>a</m:t>
        </m:r>
        <m:r>
          <m:t>c</m:t>
        </m:r>
        <m:r>
          <m:t>k</m:t>
        </m:r>
        <m:r>
          <m:t>m</m:t>
        </m:r>
        <m:r>
          <m:t>o</m:t>
        </m:r>
        <m:r>
          <m:t>d</m:t>
        </m:r>
        <m:r>
          <m:t>e</m:t>
        </m:r>
        <m:r>
          <m:t>s</m:t>
        </m:r>
        <m:r>
          <m:t>t</m:t>
        </m:r>
        <m:r>
          <m:t>l</m:t>
        </m:r>
        <m:r>
          <m:t>y</m:t>
        </m:r>
        <m:r>
          <m:t>t</m:t>
        </m:r>
        <m:r>
          <m:t>o</m:t>
        </m:r>
        <m:r>
          <m:rPr>
            <m:sty m:val="p"/>
          </m:rPr>
          <m:t>*</m:t>
        </m:r>
        <m:r>
          <m:rPr>
            <m:sty m:val="p"/>
          </m:rPr>
          <m:t>*</m:t>
        </m:r>
      </m:oMath>
      <w:r>
        <w:t xml:space="preserve">64.10** at Tuesday's close, roughly flat-to-down over the past month even as peers reported. That leaves a high bar for this print after a huge multi-quarter re-rating.</w:t>
      </w:r>
    </w:p>
    <w:p>
      <w:pPr>
        <w:pStyle w:val="Compact"/>
        <w:numPr>
          <w:ilvl w:val="0"/>
          <w:numId w:val="1001"/>
        </w:numPr>
      </w:pPr>
      <w:r>
        <w:t xml:space="preserve">Analysts are broadly constructive (a "Moderate Buy," with 7 Strong Buy/13 Hold/1 Strong Sell ratings among 21 analysts) but average price targets (~$61–65) are now clustered around or below the current share price, meaning the easy re-rating trade may be behind the stock and the Q2 print needs to deliver incremental positive data.</w:t>
      </w:r>
    </w:p>
    <w:bookmarkEnd w:id="9"/>
    <w:bookmarkStart w:id="10" w:name="Xd9d1a45b1d267b953127311318160515009215f"/>
    <w:p>
      <w:pPr>
        <w:pStyle w:val="Heading2"/>
      </w:pPr>
      <w:r>
        <w:t xml:space="preserve">2. Setting the Stage: What Happened in Q1</w:t>
      </w:r>
    </w:p>
    <w:p>
      <w:pPr>
        <w:pStyle w:val="FirstParagraph"/>
      </w:pPr>
      <w:r>
        <w:t xml:space="preserve">Centene's Q1 2026 was a blowout that reset the narrative on margin recovery. The company **reported first quarter adjusted diluted EPS of</w:t>
      </w:r>
      <w:r>
        <w:t xml:space="preserve"> </w:t>
      </w:r>
      <w:r>
        <w:t xml:space="preserve">$3.37, exceeding our previous expectations for the period,** and used the beat to raise full-year adjusted EPS guidance from "&gt;$</w:t>
      </w:r>
      <w:r>
        <w:t xml:space="preserve">3" to</w:t>
      </w:r>
      <w:r>
        <w:t xml:space="preserve"> </w:t>
      </w:r>
      <w:r>
        <w:rPr>
          <w:b/>
          <w:bCs/>
        </w:rPr>
        <w:t xml:space="preserve">"&gt;$3.40."</w:t>
      </w:r>
      <w:r>
        <w:t xml:space="preserve"> </w:t>
      </w:r>
      <w:r>
        <w:t xml:space="preserve">Segment-level detail from that quarter will frame expectations for Q2:</w:t>
      </w:r>
    </w:p>
    <w:p>
      <w:pPr>
        <w:pStyle w:val="Compact"/>
        <w:numPr>
          <w:ilvl w:val="0"/>
          <w:numId w:val="1002"/>
        </w:numPr>
      </w:pPr>
      <w:r>
        <w:rPr>
          <w:b/>
          <w:bCs/>
        </w:rPr>
        <w:t xml:space="preserve">Medicaid</w:t>
      </w:r>
      <w:r>
        <w:t xml:space="preserve"> </w:t>
      </w:r>
      <w:r>
        <w:t xml:space="preserve">HBR improved to 93.1% (vs. 93.6% a year ago), which management attributed to a lighter flu season and weather benefit, but also genuine progress on trend-management initiatives (network optimization, clinical programs, fraud/waste/abuse efforts). Management guided to</w:t>
      </w:r>
      <w:r>
        <w:t xml:space="preserve"> </w:t>
      </w:r>
      <w:r>
        <w:rPr>
          <w:b/>
          <w:bCs/>
        </w:rPr>
        <w:t xml:space="preserve">net trend in the mid-4% range</w:t>
      </w:r>
      <w:r>
        <w:t xml:space="preserve"> </w:t>
      </w:r>
      <w:r>
        <w:t xml:space="preserve">and a</w:t>
      </w:r>
      <w:r>
        <w:t xml:space="preserve"> </w:t>
      </w:r>
      <w:r>
        <w:rPr>
          <w:b/>
          <w:bCs/>
        </w:rPr>
        <w:t xml:space="preserve">composite rate yield around 4.5%</w:t>
      </w:r>
      <w:r>
        <w:t xml:space="preserve"> </w:t>
      </w:r>
      <w:r>
        <w:t xml:space="preserve">for the full year, essentially a flat-to-improving HBR story if execution holds.</w:t>
      </w:r>
    </w:p>
    <w:p>
      <w:pPr>
        <w:pStyle w:val="Compact"/>
        <w:numPr>
          <w:ilvl w:val="0"/>
          <w:numId w:val="1002"/>
        </w:numPr>
      </w:pPr>
      <w:r>
        <w:rPr>
          <w:b/>
          <w:bCs/>
        </w:rPr>
        <w:t xml:space="preserve">Medicare</w:t>
      </w:r>
      <w:r>
        <w:t xml:space="preserve"> </w:t>
      </w:r>
      <w:r>
        <w:t xml:space="preserve">(MA + PDP) HBR of 84.9% beat expectations, with PDP specialty-drug trend running hot but "not as high as what we had built into our forecast." Management reiterated a path to</w:t>
      </w:r>
      <w:r>
        <w:t xml:space="preserve"> </w:t>
      </w:r>
      <w:r>
        <w:rPr>
          <w:b/>
          <w:bCs/>
        </w:rPr>
        <w:t xml:space="preserve">Medicare Advantage breakeven in 2027</w:t>
      </w:r>
      <w:r>
        <w:t xml:space="preserve">, helped by an improved final 2027 MA rate notice versus the advance notice.</w:t>
      </w:r>
    </w:p>
    <w:p>
      <w:pPr>
        <w:pStyle w:val="Compact"/>
        <w:numPr>
          <w:ilvl w:val="0"/>
          <w:numId w:val="1002"/>
        </w:numPr>
      </w:pPr>
      <w:r>
        <w:rPr>
          <w:b/>
          <w:bCs/>
        </w:rPr>
        <w:t xml:space="preserve">Marketplace/Commercial</w:t>
      </w:r>
      <w:r>
        <w:t xml:space="preserve"> </w:t>
      </w:r>
      <w:r>
        <w:t xml:space="preserve">was the most contentious segment: HBR of 75.3% was slightly above plan due to higher-than-expected utilization concentrated in Silver-tier membership. Management now believes this reflects a</w:t>
      </w:r>
      <w:r>
        <w:t xml:space="preserve"> </w:t>
      </w:r>
      <w:r>
        <w:rPr>
          <w:b/>
          <w:bCs/>
        </w:rPr>
        <w:t xml:space="preserve">higher-acuity Silver population that should draw a meaningful risk-adjustment receivable</w:t>
      </w:r>
      <w:r>
        <w:t xml:space="preserve">, but only embedded a conservative</w:t>
      </w:r>
      <w:r>
        <w:t xml:space="preserve"> </w:t>
      </w:r>
      <w:r>
        <w:rPr>
          <w:b/>
          <w:bCs/>
        </w:rPr>
        <w:t xml:space="preserve">~3% pretax Marketplace margin</w:t>
      </w:r>
      <w:r>
        <w:t xml:space="preserve"> </w:t>
      </w:r>
      <w:r>
        <w:t xml:space="preserve">into guidance (down from an original ~4% target) pending confirmation from the</w:t>
      </w:r>
      <w:r>
        <w:t xml:space="preserve"> </w:t>
      </w:r>
      <w:r>
        <w:rPr>
          <w:b/>
          <w:bCs/>
        </w:rPr>
        <w:t xml:space="preserve">June Wakely industry data</w:t>
      </w:r>
      <w:r>
        <w:t xml:space="preserve">.</w:t>
      </w:r>
    </w:p>
    <w:bookmarkEnd w:id="10"/>
    <w:bookmarkStart w:id="11" w:name="Xb9c8a53abd0edcab4a96b06ab5a95264ddbd2df"/>
    <w:p>
      <w:pPr>
        <w:pStyle w:val="Heading2"/>
      </w:pPr>
      <w:r>
        <w:t xml:space="preserve">3. The Big Debate: Marketplace Risk Adjustment</w:t>
      </w:r>
    </w:p>
    <w:p>
      <w:pPr>
        <w:pStyle w:val="FirstParagraph"/>
      </w:pPr>
      <w:r>
        <w:t xml:space="preserve">This is arguably the single most important swing factor for Tuesday's report and guidance update. Some context matters here: in</w:t>
      </w:r>
      <w:r>
        <w:t xml:space="preserve"> </w:t>
      </w:r>
      <w:r>
        <w:rPr>
          <w:b/>
          <w:bCs/>
        </w:rPr>
        <w:t xml:space="preserve">July 2025, Centene actually withdrew its full-year guidance</w:t>
      </w:r>
      <w:r>
        <w:t xml:space="preserve"> </w:t>
      </w:r>
      <w:r>
        <w:t xml:space="preserve">after Wakely actuarial data revealed a mismatch between the company's ACA risk pool and the broader market — a shock that hammered the stock and the whole sector at the time. Management spent much of the Q1 2026 call explaining the steps taken since (earlier, more collaborative data-sharing across the industry via Wakely) specifically to avoid a repeat surprise.</w:t>
      </w:r>
    </w:p>
    <w:p>
      <w:pPr>
        <w:pStyle w:val="BodyText"/>
      </w:pPr>
      <w:r>
        <w:t xml:space="preserve">Notably, there has been</w:t>
      </w:r>
      <w:r>
        <w:t xml:space="preserve"> </w:t>
      </w:r>
      <w:r>
        <w:rPr>
          <w:b/>
          <w:bCs/>
        </w:rPr>
        <w:t xml:space="preserve">no negative pre-announcement or guidance withdrawal this cycle</w:t>
      </w:r>
      <w:r>
        <w:t xml:space="preserve"> </w:t>
      </w:r>
      <w:r>
        <w:t xml:space="preserve">between the April Q1 report and now — a contrast with last year that the market may read as a tentatively good sign, but investors have not yet seen the actual June Wakely read-through, which CFO Drew Asher flagged as "key to allowing us to further refine this assumption." Watch for:</w:t>
      </w:r>
    </w:p>
    <w:p>
      <w:pPr>
        <w:pStyle w:val="Compact"/>
        <w:numPr>
          <w:ilvl w:val="0"/>
          <w:numId w:val="1003"/>
        </w:numPr>
      </w:pPr>
      <w:r>
        <w:t xml:space="preserve">Confirmation (or not) of the anticipated risk-adjustment receivable and any resulting upward revision to the ~3% Marketplace margin assumption.</w:t>
      </w:r>
    </w:p>
    <w:p>
      <w:pPr>
        <w:pStyle w:val="Compact"/>
        <w:numPr>
          <w:ilvl w:val="0"/>
          <w:numId w:val="1003"/>
        </w:numPr>
      </w:pPr>
      <w:r>
        <w:t xml:space="preserve">Updated full-year Marketplace membership trajectory (ended Q1 at 3.58 million, guided to attrite to "a little over 3 million" by year-end).</w:t>
      </w:r>
    </w:p>
    <w:p>
      <w:pPr>
        <w:pStyle w:val="Compact"/>
        <w:numPr>
          <w:ilvl w:val="0"/>
          <w:numId w:val="1003"/>
        </w:numPr>
      </w:pPr>
      <w:r>
        <w:t xml:space="preserve">Any read-through from CMS's shortened 2027 open enrollment period and lingering program-integrity litigation.</w:t>
      </w:r>
    </w:p>
    <w:p>
      <w:pPr>
        <w:pStyle w:val="FirstParagraph"/>
      </w:pPr>
      <w:r>
        <w:rPr>
          <w:b/>
          <w:bCs/>
        </w:rPr>
        <w:t xml:space="preserve">Peer read-across is decidedly mixed here and adds risk to the debate.</w:t>
      </w:r>
      <w:r>
        <w:t xml:space="preserve"> </w:t>
      </w:r>
      <w:r>
        <w:t xml:space="preserve">Molina Healthcare, which reported July 22, saw ACA membership collapse to 283,000 from 655,000 a year earlier and management admitted its 2026 pricing action</w:t>
      </w:r>
      <w:r>
        <w:t xml:space="preserve"> </w:t>
      </w:r>
      <w:r>
        <w:rPr>
          <w:b/>
          <w:bCs/>
        </w:rPr>
        <w:t xml:space="preserve">"underestimated" the effect that enrollment declines would have on its risk pools</w:t>
      </w:r>
      <w:r>
        <w:t xml:space="preserve">, prompting further planned Marketplace exits. Elevance also flagged a similarly cautious tone across its book. Centene has far larger Marketplace exposure than Molina, so any incremental negative data points from peers raise the stakes for CNC's own commentary.</w:t>
      </w:r>
    </w:p>
    <w:bookmarkEnd w:id="11"/>
    <w:bookmarkStart w:id="12" w:name="X04d0f8da182f1251178b8ed837e693c4a7957fa"/>
    <w:p>
      <w:pPr>
        <w:pStyle w:val="Heading2"/>
      </w:pPr>
      <w:r>
        <w:t xml:space="preserve">4. Medicaid Margin Recovery — Is the Trend Sustainable?</w:t>
      </w:r>
    </w:p>
    <w:p>
      <w:pPr>
        <w:pStyle w:val="FirstParagraph"/>
      </w:pPr>
      <w:r>
        <w:t xml:space="preserve">Medicaid remains Centene's largest and most closely watched segment (12.4 million members, $23.6B of Q1 premium revenue). Key questions for Tuesday:</w:t>
      </w:r>
    </w:p>
    <w:p>
      <w:pPr>
        <w:pStyle w:val="Compact"/>
        <w:numPr>
          <w:ilvl w:val="0"/>
          <w:numId w:val="1004"/>
        </w:numPr>
      </w:pPr>
      <w:r>
        <w:t xml:space="preserve">Can the company sustain HBR improvement without the flu/weather tailwind that helped Q1? Management explicitly said it would be</w:t>
      </w:r>
      <w:r>
        <w:t xml:space="preserve"> </w:t>
      </w:r>
      <w:r>
        <w:rPr>
          <w:b/>
          <w:bCs/>
        </w:rPr>
        <w:t xml:space="preserve">"disappointed"</w:t>
      </w:r>
      <w:r>
        <w:t xml:space="preserve"> </w:t>
      </w:r>
      <w:r>
        <w:t xml:space="preserve">if underlying performance didn't beat its own 93.7% full-year HBR assumption by 15–20 bps.</w:t>
      </w:r>
    </w:p>
    <w:p>
      <w:pPr>
        <w:pStyle w:val="Compact"/>
        <w:numPr>
          <w:ilvl w:val="0"/>
          <w:numId w:val="1004"/>
        </w:numPr>
      </w:pPr>
      <w:r>
        <w:rPr>
          <w:b/>
          <w:bCs/>
        </w:rPr>
        <w:t xml:space="preserve">Medicaid work requirements</w:t>
      </w:r>
      <w:r>
        <w:t xml:space="preserve"> </w:t>
      </w:r>
      <w:r>
        <w:t xml:space="preserve">are beginning to phase in (Nebraska went live in July), and states are starting to build anticipated acuity shifts into rate-setting. Management has expressed confidence that CMS guidance around mid-year rate retros gives the system flexibility, but this is a genuine 2027 wildcard investors will probe.</w:t>
      </w:r>
    </w:p>
    <w:p>
      <w:pPr>
        <w:pStyle w:val="Compact"/>
        <w:numPr>
          <w:ilvl w:val="0"/>
          <w:numId w:val="1004"/>
        </w:numPr>
      </w:pPr>
      <w:r>
        <w:t xml:space="preserve">Fraud/waste/abuse and network-optimization initiatives (including AI-enabled forecasting and payment-integrity tools) are central to the "net trend" narrative — expect updates on whether these programs are scaling as planned.</w:t>
      </w:r>
    </w:p>
    <w:bookmarkEnd w:id="12"/>
    <w:bookmarkStart w:id="13" w:name="X55628a8b4a284c800b3f5823fc4d82ba7f1bd7d"/>
    <w:p>
      <w:pPr>
        <w:pStyle w:val="Heading2"/>
      </w:pPr>
      <w:r>
        <w:t xml:space="preserve">5. Medicare/PDP — Smaller But Watch the 2027 Setup</w:t>
      </w:r>
    </w:p>
    <w:p>
      <w:pPr>
        <w:pStyle w:val="FirstParagraph"/>
      </w:pPr>
      <w:r>
        <w:t xml:space="preserve">Medicare Advantage and the PDP business (now 8.78 million standalone Part D members, the largest such book in the country) outperformed in Q1. The bigger issue is</w:t>
      </w:r>
      <w:r>
        <w:t xml:space="preserve"> </w:t>
      </w:r>
      <w:r>
        <w:rPr>
          <w:b/>
          <w:bCs/>
        </w:rPr>
        <w:t xml:space="preserve">2027</w:t>
      </w:r>
      <w:r>
        <w:t xml:space="preserve">: management expects the direct subsidy to rise materially due to elevated 2025/2026 baseline specialty-pharmacy costs feeding into the CMS risk model with a lag, and the company is engaging with CMS on the "balance" program that succeeds the temporary Bridge program. MA remains on track for breakeven in 2027, aided by a favorable final rate notice and rising D-SNP mix (now 40% of the MA book).</w:t>
      </w:r>
    </w:p>
    <w:bookmarkEnd w:id="13"/>
    <w:bookmarkStart w:id="14" w:name="X2c02b5657eca7050f6f6c150e6d715c7326cf38"/>
    <w:p>
      <w:pPr>
        <w:pStyle w:val="Heading2"/>
      </w:pPr>
      <w:r>
        <w:t xml:space="preserve">6. Balance Sheet and Capital Allocation</w:t>
      </w:r>
    </w:p>
    <w:p>
      <w:pPr>
        <w:pStyle w:val="FirstParagraph"/>
      </w:pPr>
      <w:r>
        <w:t xml:space="preserve">Centene used</w:t>
      </w:r>
      <w:r>
        <w:t xml:space="preserve"> </w:t>
      </w:r>
      <w:r>
        <w:rPr>
          <w:b/>
          <w:bCs/>
        </w:rPr>
        <w:t xml:space="preserve">$1.0 billion</w:t>
      </w:r>
      <w:r>
        <w:t xml:space="preserve"> </w:t>
      </w:r>
      <w:r>
        <w:t xml:space="preserve">of proceeds from selling a participating interest in 2025 Part D risk-share receivables to repurchase</w:t>
      </w:r>
      <w:r>
        <w:t xml:space="preserve"> </w:t>
      </w:r>
      <m:oMath>
        <m:r>
          <m:t>1.0</m:t>
        </m:r>
        <m:r>
          <m:t>b</m:t>
        </m:r>
        <m:r>
          <m:t>i</m:t>
        </m:r>
        <m:r>
          <m:t>l</m:t>
        </m:r>
        <m:r>
          <m:t>l</m:t>
        </m:r>
        <m:r>
          <m:t>i</m:t>
        </m:r>
        <m:r>
          <m:t>o</m:t>
        </m:r>
        <m:r>
          <m:t>n</m:t>
        </m:r>
        <m:r>
          <m:t>o</m:t>
        </m:r>
        <m:r>
          <m:t>f</m:t>
        </m:r>
        <m:r>
          <m:t>s</m:t>
        </m:r>
        <m:r>
          <m:t>e</m:t>
        </m:r>
        <m:r>
          <m:t>n</m:t>
        </m:r>
        <m:r>
          <m:t>i</m:t>
        </m:r>
        <m:r>
          <m:t>o</m:t>
        </m:r>
        <m:r>
          <m:t>r</m:t>
        </m:r>
        <m:r>
          <m:t>n</m:t>
        </m:r>
        <m:r>
          <m:t>o</m:t>
        </m:r>
        <m:r>
          <m:t>t</m:t>
        </m:r>
        <m:r>
          <m:t>e</m:t>
        </m:r>
        <m:r>
          <m:t>s</m:t>
        </m:r>
        <m:r>
          <m:rPr>
            <m:sty m:val="p"/>
          </m:rPr>
          <m:t>,</m:t>
        </m:r>
        <m:r>
          <m:t>p</m:t>
        </m:r>
        <m:r>
          <m:t>u</m:t>
        </m:r>
        <m:r>
          <m:t>l</m:t>
        </m:r>
        <m:r>
          <m:t>l</m:t>
        </m:r>
        <m:r>
          <m:t>i</m:t>
        </m:r>
        <m:r>
          <m:t>n</m:t>
        </m:r>
        <m:r>
          <m:t>g</m:t>
        </m:r>
        <m:r>
          <m:t>d</m:t>
        </m:r>
        <m:r>
          <m:t>e</m:t>
        </m:r>
        <m:r>
          <m:t>b</m:t>
        </m:r>
        <m:r>
          <m:t>t</m:t>
        </m:r>
        <m:r>
          <m:rPr>
            <m:sty m:val="p"/>
          </m:rPr>
          <m:t>−</m:t>
        </m:r>
        <m:r>
          <m:t>t</m:t>
        </m:r>
        <m:r>
          <m:t>o</m:t>
        </m:r>
        <m:r>
          <m:rPr>
            <m:sty m:val="p"/>
          </m:rPr>
          <m:t>−</m:t>
        </m:r>
        <m:r>
          <m:t>c</m:t>
        </m:r>
        <m:r>
          <m:t>a</m:t>
        </m:r>
        <m:r>
          <m:t>p</m:t>
        </m:r>
        <m:r>
          <m:t>i</m:t>
        </m:r>
        <m:r>
          <m:t>t</m:t>
        </m:r>
        <m:r>
          <m:t>a</m:t>
        </m:r>
        <m:r>
          <m:t>l</m:t>
        </m:r>
        <m:r>
          <m:t>i</m:t>
        </m:r>
        <m:r>
          <m:t>z</m:t>
        </m:r>
        <m:r>
          <m:t>a</m:t>
        </m:r>
        <m:r>
          <m:t>t</m:t>
        </m:r>
        <m:r>
          <m:t>i</m:t>
        </m:r>
        <m:r>
          <m:t>o</m:t>
        </m:r>
        <m:r>
          <m:t>n</m:t>
        </m:r>
        <m:r>
          <m:t>d</m:t>
        </m:r>
        <m:r>
          <m:t>o</m:t>
        </m:r>
        <m:r>
          <m:t>w</m:t>
        </m:r>
        <m:r>
          <m:t>n</m:t>
        </m:r>
        <m:r>
          <m:t>t</m:t>
        </m:r>
        <m:r>
          <m:t>o</m:t>
        </m:r>
        <m:r>
          <m:rPr>
            <m:sty m:val="p"/>
          </m:rPr>
          <m:t>*</m:t>
        </m:r>
        <m:r>
          <m:rPr>
            <m:sty m:val="p"/>
          </m:rPr>
          <m:t>*</m:t>
        </m:r>
        <m:r>
          <m:t>43.2</m:t>
        </m:r>
      </m:oMath>
      <w:r>
        <w:t xml:space="preserve">1.2B) and summer 2028 (~</w:t>
      </w:r>
      <m:oMath>
        <m:r>
          <m:t>2.3</m:t>
        </m:r>
        <m:r>
          <m:t>B</m:t>
        </m:r>
        <m:r>
          <m:rPr>
            <m:sty m:val="p"/>
          </m:rPr>
          <m:t>)</m:t>
        </m:r>
        <m:r>
          <m:rPr>
            <m:sty m:val="p"/>
          </m:rPr>
          <m:t>,</m:t>
        </m:r>
        <m:r>
          <m:t>e</m:t>
        </m:r>
        <m:r>
          <m:t>x</m:t>
        </m:r>
        <m:r>
          <m:t>p</m:t>
        </m:r>
        <m:r>
          <m:t>e</m:t>
        </m:r>
        <m:r>
          <m:t>c</m:t>
        </m:r>
        <m:r>
          <m:t>t</m:t>
        </m:r>
        <m:r>
          <m:t>q</m:t>
        </m:r>
        <m:r>
          <m:t>u</m:t>
        </m:r>
        <m:r>
          <m:t>e</m:t>
        </m:r>
        <m:r>
          <m:t>s</m:t>
        </m:r>
        <m:r>
          <m:t>t</m:t>
        </m:r>
        <m:r>
          <m:t>i</m:t>
        </m:r>
        <m:r>
          <m:t>o</m:t>
        </m:r>
        <m:r>
          <m:t>n</m:t>
        </m:r>
        <m:r>
          <m:t>s</m:t>
        </m:r>
        <m:r>
          <m:t>o</m:t>
        </m:r>
        <m:r>
          <m:t>n</m:t>
        </m:r>
        <m:r>
          <m:t>r</m:t>
        </m:r>
        <m:r>
          <m:t>e</m:t>
        </m:r>
        <m:r>
          <m:t>f</m:t>
        </m:r>
        <m:r>
          <m:t>i</m:t>
        </m:r>
        <m:r>
          <m:t>n</m:t>
        </m:r>
        <m:r>
          <m:t>a</m:t>
        </m:r>
        <m:r>
          <m:t>n</m:t>
        </m:r>
        <m:r>
          <m:t>c</m:t>
        </m:r>
        <m:r>
          <m:t>i</m:t>
        </m:r>
        <m:r>
          <m:t>n</m:t>
        </m:r>
        <m:r>
          <m:t>g</m:t>
        </m:r>
        <m:r>
          <m:t>p</m:t>
        </m:r>
        <m:r>
          <m:t>l</m:t>
        </m:r>
        <m:r>
          <m:t>a</m:t>
        </m:r>
        <m:r>
          <m:t>n</m:t>
        </m:r>
        <m:r>
          <m:t>s</m:t>
        </m:r>
        <m:r>
          <m:t>a</m:t>
        </m:r>
        <m:r>
          <m:t>n</m:t>
        </m:r>
        <m:r>
          <m:t>d</m:t>
        </m:r>
        <m:r>
          <m:t>w</m:t>
        </m:r>
        <m:r>
          <m:t>h</m:t>
        </m:r>
        <m:r>
          <m:t>e</m:t>
        </m:r>
        <m:r>
          <m:t>t</m:t>
        </m:r>
        <m:r>
          <m:t>h</m:t>
        </m:r>
        <m:r>
          <m:t>e</m:t>
        </m:r>
        <m:r>
          <m:t>r</m:t>
        </m:r>
        <m:r>
          <m:t>c</m:t>
        </m:r>
        <m:r>
          <m:t>o</m:t>
        </m:r>
        <m:r>
          <m:t>n</m:t>
        </m:r>
        <m:r>
          <m:t>t</m:t>
        </m:r>
        <m:r>
          <m:t>i</m:t>
        </m:r>
        <m:r>
          <m:t>n</m:t>
        </m:r>
        <m:r>
          <m:t>u</m:t>
        </m:r>
        <m:r>
          <m:t>e</m:t>
        </m:r>
        <m:r>
          <m:t>d</m:t>
        </m:r>
        <m:r>
          <m:t>s</m:t>
        </m:r>
        <m:r>
          <m:t>t</m:t>
        </m:r>
        <m:r>
          <m:t>r</m:t>
        </m:r>
        <m:r>
          <m:t>o</m:t>
        </m:r>
        <m:r>
          <m:t>n</m:t>
        </m:r>
        <m:r>
          <m:t>g</m:t>
        </m:r>
        <m:r>
          <m:t>c</m:t>
        </m:r>
        <m:r>
          <m:t>a</m:t>
        </m:r>
        <m:r>
          <m:t>s</m:t>
        </m:r>
        <m:r>
          <m:t>h</m:t>
        </m:r>
        <m:r>
          <m:t>g</m:t>
        </m:r>
        <m:r>
          <m:t>e</m:t>
        </m:r>
        <m:r>
          <m:t>n</m:t>
        </m:r>
        <m:r>
          <m:t>e</m:t>
        </m:r>
        <m:r>
          <m:t>r</m:t>
        </m:r>
        <m:r>
          <m:t>a</m:t>
        </m:r>
        <m:r>
          <m:t>t</m:t>
        </m:r>
        <m:r>
          <m:t>i</m:t>
        </m:r>
        <m:r>
          <m:t>o</m:t>
        </m:r>
        <m:r>
          <m:t>n</m:t>
        </m:r>
        <m:r>
          <m:rPr>
            <m:sty m:val="p"/>
          </m:rPr>
          <m:t>(</m:t>
        </m:r>
      </m:oMath>
      <w:r>
        <w:t xml:space="preserve">4.4 billion of operating cash flow in Q1) opens the door to buybacks or other capital deployment.</w:t>
      </w:r>
    </w:p>
    <w:bookmarkEnd w:id="14"/>
    <w:bookmarkStart w:id="15" w:name="Xfed53f1d4d3d165087cea81e195b3ea73d1b88e"/>
    <w:p>
      <w:pPr>
        <w:pStyle w:val="Heading2"/>
      </w:pPr>
      <w:r>
        <w:t xml:space="preserve">7. Sector Backdrop Heading Into the Print</w:t>
      </w:r>
    </w:p>
    <w:p>
      <w:pPr>
        <w:pStyle w:val="FirstParagraph"/>
      </w:pPr>
      <w:r>
        <w:t xml:space="preserve">The managed-care group has delivered a volatile earnings season so far:</w:t>
      </w:r>
    </w:p>
    <w:p>
      <w:pPr>
        <w:pStyle w:val="Compact"/>
        <w:numPr>
          <w:ilvl w:val="0"/>
          <w:numId w:val="1005"/>
        </w:numPr>
      </w:pPr>
      <w:r>
        <w:rPr>
          <w:b/>
          <w:bCs/>
        </w:rPr>
        <w:t xml:space="preserve">UnitedHealth</w:t>
      </w:r>
      <w:r>
        <w:t xml:space="preserve"> </w:t>
      </w:r>
      <w:r>
        <w:t xml:space="preserve">delivered a blowout quarter, posting adjusted EPS of $6.38 versus a $4.90 estimate and raising full-year guidance to</w:t>
      </w:r>
      <w:r>
        <w:t xml:space="preserve"> </w:t>
      </w:r>
      <m:oMath>
        <m:r>
          <m:t>19.50</m:t>
        </m:r>
        <m:r>
          <m:rPr>
            <m:sty m:val="p"/>
          </m:rPr>
          <m:t>–</m:t>
        </m:r>
      </m:oMath>
      <w:r>
        <w:t xml:space="preserve">20.00 (from a prior floor of $18.25), driven by better-than-expected medical cost control — seen by some as evidence that industry-wide cost trend may finally be turning favorable.</w:t>
      </w:r>
    </w:p>
    <w:p>
      <w:pPr>
        <w:pStyle w:val="Compact"/>
        <w:numPr>
          <w:ilvl w:val="0"/>
          <w:numId w:val="1005"/>
        </w:numPr>
      </w:pPr>
      <w:r>
        <w:rPr>
          <w:b/>
          <w:bCs/>
        </w:rPr>
        <w:t xml:space="preserve">Elevance Health</w:t>
      </w:r>
      <w:r>
        <w:t xml:space="preserve"> </w:t>
      </w:r>
      <w:r>
        <w:t xml:space="preserve">beat estimates ($7.45 vs. $6.18 consensus) but the stock still fell more than 12% because the guidance raise was viewed as too modest relative to the beat, with continued softness in its Medicaid book (including plans to exit some Medicaid markets).</w:t>
      </w:r>
    </w:p>
    <w:p>
      <w:pPr>
        <w:pStyle w:val="Compact"/>
        <w:numPr>
          <w:ilvl w:val="0"/>
          <w:numId w:val="1005"/>
        </w:numPr>
      </w:pPr>
      <w:r>
        <w:rPr>
          <w:b/>
          <w:bCs/>
        </w:rPr>
        <w:t xml:space="preserve">Molina</w:t>
      </w:r>
      <w:r>
        <w:t xml:space="preserve"> </w:t>
      </w:r>
      <w:r>
        <w:t xml:space="preserve">beat on adjusted EPS ($1.51 vs. $1.39) and raised guidance, but GAAP profit fell 76% year-over-year as Marketplace weakness offset Medicaid/Medicare stability.</w:t>
      </w:r>
    </w:p>
    <w:p>
      <w:pPr>
        <w:pStyle w:val="FirstParagraph"/>
      </w:pPr>
      <w:r>
        <w:t xml:space="preserve">The lesson for Centene:</w:t>
      </w:r>
      <w:r>
        <w:t xml:space="preserve"> </w:t>
      </w:r>
      <w:r>
        <w:rPr>
          <w:b/>
          <w:bCs/>
        </w:rPr>
        <w:t xml:space="preserve">a "beat" alone may not be enough.</w:t>
      </w:r>
      <w:r>
        <w:t xml:space="preserve"> </w:t>
      </w:r>
      <w:r>
        <w:t xml:space="preserve">The market has shown it will punish even solid results if the accompanying guidance raise looks too conservative (Elevance) or if Marketplace commentary disappoints (Molina). Given CNC shares are already up sharply off their spring lows, the bar for a positive reaction looks similarly high — investors will be parsing the magnitude of any guidance raise and, especially, management's language on the Marketplace risk-adjustment receivable.</w:t>
      </w:r>
    </w:p>
    <w:bookmarkEnd w:id="15"/>
    <w:bookmarkStart w:id="16" w:name="X9e33bf0563cc86f4f75af4cbd0ee83658f75265"/>
    <w:p>
      <w:pPr>
        <w:pStyle w:val="Heading2"/>
      </w:pPr>
      <w:r>
        <w:t xml:space="preserve">8. Key Things to Watch on the Call</w:t>
      </w:r>
    </w:p>
    <w:p>
      <w:pPr>
        <w:pStyle w:val="Compact"/>
        <w:numPr>
          <w:ilvl w:val="0"/>
          <w:numId w:val="1006"/>
        </w:numPr>
      </w:pPr>
      <w:r>
        <w:rPr>
          <w:b/>
          <w:bCs/>
        </w:rPr>
        <w:t xml:space="preserve">Full-year guidance revision</w:t>
      </w:r>
      <w:r>
        <w:t xml:space="preserve"> </w:t>
      </w:r>
      <w:r>
        <w:t xml:space="preserve">— does management raise the &gt;$3.40 adjusted EPS floor, and by how much?</w:t>
      </w:r>
    </w:p>
    <w:p>
      <w:pPr>
        <w:pStyle w:val="Compact"/>
        <w:numPr>
          <w:ilvl w:val="0"/>
          <w:numId w:val="1006"/>
        </w:numPr>
      </w:pPr>
      <w:r>
        <w:rPr>
          <w:b/>
          <w:bCs/>
        </w:rPr>
        <w:t xml:space="preserve">Marketplace margin update</w:t>
      </w:r>
      <w:r>
        <w:t xml:space="preserve"> </w:t>
      </w:r>
      <w:r>
        <w:t xml:space="preserve">— any move off the conservative ~3% pretax margin assumption based on June Wakely data.</w:t>
      </w:r>
    </w:p>
    <w:p>
      <w:pPr>
        <w:pStyle w:val="Compact"/>
        <w:numPr>
          <w:ilvl w:val="0"/>
          <w:numId w:val="1006"/>
        </w:numPr>
      </w:pPr>
      <w:r>
        <w:rPr>
          <w:b/>
          <w:bCs/>
        </w:rPr>
        <w:t xml:space="preserve">Medicaid HBR trajectory</w:t>
      </w:r>
      <w:r>
        <w:t xml:space="preserve"> </w:t>
      </w:r>
      <w:r>
        <w:t xml:space="preserve">— confirmation that Q1's improvement wasn't just a flu/weather artifact.</w:t>
      </w:r>
    </w:p>
    <w:p>
      <w:pPr>
        <w:pStyle w:val="Compact"/>
        <w:numPr>
          <w:ilvl w:val="0"/>
          <w:numId w:val="1006"/>
        </w:numPr>
      </w:pPr>
      <w:r>
        <w:rPr>
          <w:b/>
          <w:bCs/>
        </w:rPr>
        <w:t xml:space="preserve">Quarterly cadence</w:t>
      </w:r>
      <w:r>
        <w:t xml:space="preserve"> </w:t>
      </w:r>
      <w:r>
        <w:t xml:space="preserve">— management previously guided to a step-down in EPS from Q1 to Q2 (still profitable), breakeven-ish Q3, and a seasonal Q4 loss; any deviation from this shape matters for how the market reads Q2 in isolation.</w:t>
      </w:r>
    </w:p>
    <w:p>
      <w:pPr>
        <w:pStyle w:val="Compact"/>
        <w:numPr>
          <w:ilvl w:val="0"/>
          <w:numId w:val="1006"/>
        </w:numPr>
      </w:pPr>
      <w:r>
        <w:rPr>
          <w:b/>
          <w:bCs/>
        </w:rPr>
        <w:t xml:space="preserve">2027 setup</w:t>
      </w:r>
      <w:r>
        <w:t xml:space="preserve"> </w:t>
      </w:r>
      <w:r>
        <w:t xml:space="preserve">— early commentary on Medicaid rate cycles/work-requirement impacts, PDP subsidy dynamics, and MA path to breakeven.</w:t>
      </w:r>
    </w:p>
    <w:p>
      <w:pPr>
        <w:pStyle w:val="Compact"/>
        <w:numPr>
          <w:ilvl w:val="0"/>
          <w:numId w:val="1006"/>
        </w:numPr>
      </w:pPr>
      <w:r>
        <w:rPr>
          <w:b/>
          <w:bCs/>
        </w:rPr>
        <w:t xml:space="preserve">Capital allocation/debt</w:t>
      </w:r>
      <w:r>
        <w:t xml:space="preserve"> </w:t>
      </w:r>
      <w:r>
        <w:t xml:space="preserve">— updates on refinancing the 2027/2028 note maturities.</w:t>
      </w:r>
    </w:p>
    <w:bookmarkEnd w:id="16"/>
    <w:bookmarkStart w:id="17" w:name="bottom-line"/>
    <w:p>
      <w:pPr>
        <w:pStyle w:val="Heading2"/>
      </w:pPr>
      <w:r>
        <w:t xml:space="preserve">Bottom Line</w:t>
      </w:r>
    </w:p>
    <w:p>
      <w:pPr>
        <w:pStyle w:val="FirstParagraph"/>
      </w:pPr>
      <w:r>
        <w:t xml:space="preserve">Centene enters this print with real fundamental momentum — Medicaid margins are recovering, Medicare/PDP are outperforming, and the balance sheet has been meaningfully de-risked — but the stock's outsized rally means expectations are elevated and the market has become less forgiving of "good enough" results across the managed-care group this earnings season. The Marketplace/ACA risk-adjustment call is the single biggest swing factor, both for Centene's own numbers and as a read on an issue that blindsided the company (and the sector) just one year ago. A confirmed, quantifiable risk-adjustment benefit alongside a Medicaid margin build could push guidance meaningfully higher and validate the re-rating; a vaguer or more cautious message — even alongside a Q2 beat — risks an Elevance-style "good number, bad reaction."</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2026-07-28T00:18:28Z</dcterms:created>
  <dcterms:modified xsi:type="dcterms:W3CDTF">2026-07-28T00:18:28Z</dcterms:modified>
</cp:coreProperties>
</file>

<file path=docProps/custom.xml><?xml version="1.0" encoding="utf-8"?>
<Properties xmlns="http://schemas.openxmlformats.org/officeDocument/2006/custom-properties" xmlns:vt="http://schemas.openxmlformats.org/officeDocument/2006/docPropsVTypes"/>
</file>